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FC0A79" w:rsidRPr="00175E82" w:rsidTr="006F7907">
        <w:trPr>
          <w:trHeight w:hRule="exact" w:val="1418"/>
        </w:trPr>
        <w:tc>
          <w:tcPr>
            <w:tcW w:w="6804" w:type="dxa"/>
            <w:shd w:val="clear" w:color="auto" w:fill="auto"/>
            <w:vAlign w:val="center"/>
          </w:tcPr>
          <w:p w:rsidR="006F7907" w:rsidRPr="00175E82" w:rsidRDefault="00271899" w:rsidP="00FD1DEF">
            <w:pPr>
              <w:pStyle w:val="EPName"/>
            </w:pPr>
            <w:bookmarkStart w:id="0" w:name="_GoBack"/>
            <w:bookmarkEnd w:id="0"/>
            <w:r w:rsidRPr="00175E82">
              <w:t>Ευρωπαϊκό Κοινοβούλιο</w:t>
            </w:r>
          </w:p>
          <w:p w:rsidR="006F7907" w:rsidRPr="00175E82" w:rsidRDefault="00271899" w:rsidP="00B5144E">
            <w:pPr>
              <w:pStyle w:val="EPTerm"/>
              <w:rPr>
                <w:rStyle w:val="HideTWBExt"/>
                <w:noProof w:val="0"/>
                <w:vanish w:val="0"/>
                <w:color w:val="auto"/>
              </w:rPr>
            </w:pPr>
            <w:r w:rsidRPr="00175E82">
              <w:t>2019-2024</w:t>
            </w:r>
          </w:p>
        </w:tc>
        <w:tc>
          <w:tcPr>
            <w:tcW w:w="2268" w:type="dxa"/>
            <w:shd w:val="clear" w:color="auto" w:fill="auto"/>
          </w:tcPr>
          <w:p w:rsidR="006F7907" w:rsidRPr="00175E82" w:rsidRDefault="00271899" w:rsidP="00896BB4">
            <w:pPr>
              <w:pStyle w:val="EPLogo"/>
            </w:pPr>
            <w:r w:rsidRPr="00175E82">
              <w:drawing>
                <wp:inline distT="0" distB="0" distL="0" distR="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7198"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8875" cy="652145"/>
                          </a:xfrm>
                          <a:prstGeom prst="rect">
                            <a:avLst/>
                          </a:prstGeom>
                          <a:noFill/>
                          <a:ln>
                            <a:noFill/>
                          </a:ln>
                        </pic:spPr>
                      </pic:pic>
                    </a:graphicData>
                  </a:graphic>
                </wp:inline>
              </w:drawing>
            </w:r>
          </w:p>
        </w:tc>
      </w:tr>
    </w:tbl>
    <w:p w:rsidR="00461601" w:rsidRPr="00175E82" w:rsidRDefault="00461601" w:rsidP="00461601">
      <w:pPr>
        <w:pStyle w:val="LineTop"/>
      </w:pPr>
    </w:p>
    <w:p w:rsidR="00461601" w:rsidRPr="00175E82" w:rsidRDefault="00271899" w:rsidP="00461601">
      <w:pPr>
        <w:pStyle w:val="EPBody"/>
      </w:pPr>
      <w:r w:rsidRPr="00175E82">
        <w:rPr>
          <w:rStyle w:val="HideTWBExt"/>
          <w:noProof w:val="0"/>
        </w:rPr>
        <w:t>&lt;</w:t>
      </w:r>
      <w:r w:rsidRPr="00175E82">
        <w:rPr>
          <w:rStyle w:val="HideTWBExt"/>
          <w:i w:val="0"/>
          <w:noProof w:val="0"/>
        </w:rPr>
        <w:t>Commission</w:t>
      </w:r>
      <w:r w:rsidRPr="00175E82">
        <w:rPr>
          <w:rStyle w:val="HideTWBExt"/>
          <w:noProof w:val="0"/>
        </w:rPr>
        <w:t>&gt;</w:t>
      </w:r>
      <w:r w:rsidRPr="00175E82">
        <w:rPr>
          <w:rStyle w:val="HideTWBInt"/>
          <w:color w:val="auto"/>
        </w:rPr>
        <w:t>{</w:t>
      </w:r>
      <w:r w:rsidRPr="00175E82">
        <w:rPr>
          <w:rStyle w:val="HideTWBInt"/>
          <w:color w:val="auto"/>
        </w:rPr>
        <w:t>REGI</w:t>
      </w:r>
      <w:r w:rsidRPr="00175E82">
        <w:rPr>
          <w:rStyle w:val="HideTWBInt"/>
          <w:color w:val="auto"/>
        </w:rPr>
        <w:t>}</w:t>
      </w:r>
      <w:r w:rsidRPr="00175E82">
        <w:t>Επιτροπή Περιφερειακής Ανάπτυξης</w:t>
      </w:r>
      <w:r w:rsidRPr="00175E82">
        <w:rPr>
          <w:rStyle w:val="HideTWBExt"/>
          <w:noProof w:val="0"/>
        </w:rPr>
        <w:t>&lt;/</w:t>
      </w:r>
      <w:r w:rsidRPr="00175E82">
        <w:rPr>
          <w:rStyle w:val="HideTWBExt"/>
          <w:i w:val="0"/>
          <w:noProof w:val="0"/>
        </w:rPr>
        <w:t>Commission</w:t>
      </w:r>
      <w:r w:rsidRPr="00175E82">
        <w:rPr>
          <w:rStyle w:val="HideTWBExt"/>
          <w:noProof w:val="0"/>
        </w:rPr>
        <w:t>&gt;</w:t>
      </w:r>
    </w:p>
    <w:p w:rsidR="00461601" w:rsidRPr="00175E82" w:rsidRDefault="00461601" w:rsidP="00461601">
      <w:pPr>
        <w:pStyle w:val="LineBottom"/>
      </w:pPr>
    </w:p>
    <w:p w:rsidR="00793EA9" w:rsidRPr="00175E82" w:rsidRDefault="00271899">
      <w:pPr>
        <w:pStyle w:val="CoverReference"/>
      </w:pPr>
      <w:r w:rsidRPr="00175E82">
        <w:rPr>
          <w:rStyle w:val="HideTWBExt"/>
          <w:b w:val="0"/>
          <w:noProof w:val="0"/>
        </w:rPr>
        <w:t>&lt;RefProc&gt;</w:t>
      </w:r>
      <w:r w:rsidRPr="00175E82">
        <w:t>2020/0006</w:t>
      </w:r>
      <w:r w:rsidRPr="00175E82">
        <w:rPr>
          <w:rStyle w:val="HideTWBExt"/>
          <w:b w:val="0"/>
          <w:noProof w:val="0"/>
        </w:rPr>
        <w:t>&lt;/RefProc&gt;&lt;RefTypeProc&gt;</w:t>
      </w:r>
      <w:r w:rsidRPr="00175E82">
        <w:t>(COD)</w:t>
      </w:r>
      <w:r w:rsidRPr="00175E82">
        <w:rPr>
          <w:rStyle w:val="HideTWBExt"/>
          <w:b w:val="0"/>
          <w:noProof w:val="0"/>
        </w:rPr>
        <w:t>&lt;/RefTypeProc&gt;</w:t>
      </w:r>
    </w:p>
    <w:p w:rsidR="00793EA9" w:rsidRPr="00175E82" w:rsidRDefault="00271899">
      <w:pPr>
        <w:pStyle w:val="CoverDate"/>
      </w:pPr>
      <w:r w:rsidRPr="00175E82">
        <w:rPr>
          <w:rStyle w:val="HideTWBExt"/>
          <w:noProof w:val="0"/>
        </w:rPr>
        <w:t>&lt;Date&gt;</w:t>
      </w:r>
      <w:r w:rsidRPr="00175E82">
        <w:rPr>
          <w:rStyle w:val="HideTWBInt"/>
          <w:color w:val="auto"/>
        </w:rPr>
        <w:t>{23/03/2020}</w:t>
      </w:r>
      <w:r w:rsidRPr="00175E82">
        <w:t>23.3.2020</w:t>
      </w:r>
      <w:r w:rsidRPr="00175E82">
        <w:rPr>
          <w:rStyle w:val="HideTWBExt"/>
          <w:noProof w:val="0"/>
        </w:rPr>
        <w:t>&lt;/Date&gt;</w:t>
      </w:r>
    </w:p>
    <w:p w:rsidR="00793EA9" w:rsidRPr="00175E82" w:rsidRDefault="00271899">
      <w:pPr>
        <w:pStyle w:val="CoverDocType"/>
      </w:pPr>
      <w:r w:rsidRPr="00175E82">
        <w:rPr>
          <w:rStyle w:val="HideTWBExt"/>
          <w:b w:val="0"/>
          <w:noProof w:val="0"/>
        </w:rPr>
        <w:t>&lt;RefProcLect&gt;</w:t>
      </w:r>
      <w:r w:rsidRPr="00175E82">
        <w:t>***I</w:t>
      </w:r>
      <w:r w:rsidRPr="00175E82">
        <w:rPr>
          <w:rStyle w:val="HideTWBExt"/>
          <w:b w:val="0"/>
          <w:noProof w:val="0"/>
        </w:rPr>
        <w:t>&lt;/RefProcLect&gt;</w:t>
      </w:r>
    </w:p>
    <w:p w:rsidR="00793EA9" w:rsidRPr="00175E82" w:rsidRDefault="00271899">
      <w:pPr>
        <w:pStyle w:val="CoverDocType24a"/>
      </w:pPr>
      <w:r w:rsidRPr="00175E82">
        <w:rPr>
          <w:rStyle w:val="HideTWBExt"/>
          <w:b w:val="0"/>
          <w:noProof w:val="0"/>
        </w:rPr>
        <w:t>&lt;TitreType&gt;</w:t>
      </w:r>
      <w:r w:rsidRPr="00175E82">
        <w:t>ΣΧΕΔΙΟ ΕΚΘΕΣΗΣ</w:t>
      </w:r>
      <w:r w:rsidRPr="00175E82">
        <w:rPr>
          <w:rStyle w:val="HideTWBExt"/>
          <w:b w:val="0"/>
          <w:noProof w:val="0"/>
        </w:rPr>
        <w:t>&lt;/TitreType&gt;</w:t>
      </w:r>
    </w:p>
    <w:p w:rsidR="00793EA9" w:rsidRPr="00175E82" w:rsidRDefault="00271899">
      <w:pPr>
        <w:pStyle w:val="CoverNormal"/>
      </w:pPr>
      <w:r w:rsidRPr="00175E82">
        <w:rPr>
          <w:rStyle w:val="HideTWBExt"/>
          <w:noProof w:val="0"/>
        </w:rPr>
        <w:t>&lt;Titre&gt;</w:t>
      </w:r>
      <w:r w:rsidRPr="00175E82">
        <w:t>σχετικά με την πρόταση κανονισμού του Ευρωπαϊκού Κοινοβουλίου και του Συμβουλίου για τη θέσπιση του Ταμείου Δίκαιης Μετάβασης</w:t>
      </w:r>
      <w:r w:rsidRPr="00175E82">
        <w:rPr>
          <w:rStyle w:val="HideTWBExt"/>
          <w:noProof w:val="0"/>
        </w:rPr>
        <w:t>&lt;/Titre&gt;</w:t>
      </w:r>
    </w:p>
    <w:p w:rsidR="00793EA9" w:rsidRPr="00175E82" w:rsidRDefault="00271899">
      <w:pPr>
        <w:pStyle w:val="CoverNormal24a"/>
      </w:pPr>
      <w:r w:rsidRPr="00175E82">
        <w:rPr>
          <w:rStyle w:val="HideTWBExt"/>
          <w:noProof w:val="0"/>
        </w:rPr>
        <w:t>&lt;DocRef&gt;</w:t>
      </w:r>
      <w:r w:rsidRPr="00175E82">
        <w:t>(COM(2020)0022 – C9-0007/2020 – 2020/0006(COD))</w:t>
      </w:r>
      <w:r w:rsidRPr="00175E82">
        <w:rPr>
          <w:rStyle w:val="HideTWBExt"/>
          <w:noProof w:val="0"/>
        </w:rPr>
        <w:t>&lt;/DocRef&gt;</w:t>
      </w:r>
    </w:p>
    <w:p w:rsidR="00793EA9" w:rsidRPr="00175E82" w:rsidRDefault="00271899">
      <w:pPr>
        <w:pStyle w:val="CoverNormal24a"/>
      </w:pPr>
      <w:r w:rsidRPr="00175E82">
        <w:rPr>
          <w:rStyle w:val="HideTWBExt"/>
          <w:noProof w:val="0"/>
        </w:rPr>
        <w:t>&lt;</w:t>
      </w:r>
      <w:r w:rsidRPr="00175E82">
        <w:rPr>
          <w:rStyle w:val="HideTWBExt"/>
          <w:noProof w:val="0"/>
        </w:rPr>
        <w:t>Commission</w:t>
      </w:r>
      <w:r w:rsidRPr="00175E82">
        <w:rPr>
          <w:rStyle w:val="HideTWBExt"/>
          <w:noProof w:val="0"/>
        </w:rPr>
        <w:t>&gt;</w:t>
      </w:r>
      <w:r w:rsidRPr="00175E82">
        <w:rPr>
          <w:rStyle w:val="HideTWBInt"/>
          <w:color w:val="auto"/>
        </w:rPr>
        <w:t>{</w:t>
      </w:r>
      <w:r w:rsidRPr="00175E82">
        <w:rPr>
          <w:rStyle w:val="HideTWBInt"/>
          <w:color w:val="auto"/>
        </w:rPr>
        <w:t>REGI</w:t>
      </w:r>
      <w:r w:rsidRPr="00175E82">
        <w:rPr>
          <w:rStyle w:val="HideTWBInt"/>
          <w:color w:val="auto"/>
        </w:rPr>
        <w:t>}</w:t>
      </w:r>
      <w:r w:rsidRPr="00175E82">
        <w:t>Επιτροπή Περιφερεια</w:t>
      </w:r>
      <w:r w:rsidRPr="00175E82">
        <w:t>κής Ανάπτυξης</w:t>
      </w:r>
      <w:r w:rsidRPr="00175E82">
        <w:rPr>
          <w:rStyle w:val="HideTWBExt"/>
          <w:noProof w:val="0"/>
        </w:rPr>
        <w:t>&lt;/</w:t>
      </w:r>
      <w:r w:rsidRPr="00175E82">
        <w:rPr>
          <w:rStyle w:val="HideTWBExt"/>
          <w:noProof w:val="0"/>
        </w:rPr>
        <w:t>Commission</w:t>
      </w:r>
      <w:r w:rsidRPr="00175E82">
        <w:rPr>
          <w:rStyle w:val="HideTWBExt"/>
          <w:noProof w:val="0"/>
        </w:rPr>
        <w:t>&gt;</w:t>
      </w:r>
    </w:p>
    <w:p w:rsidR="00793EA9" w:rsidRPr="00175E82" w:rsidRDefault="00271899">
      <w:pPr>
        <w:pStyle w:val="CoverNormal24a"/>
      </w:pPr>
      <w:r w:rsidRPr="00175E82">
        <w:t xml:space="preserve">Εισηγητής: </w:t>
      </w:r>
      <w:r w:rsidRPr="00175E82">
        <w:rPr>
          <w:rStyle w:val="HideTWBExt"/>
          <w:noProof w:val="0"/>
        </w:rPr>
        <w:t>&lt;Depute&gt;</w:t>
      </w:r>
      <w:r w:rsidRPr="00175E82">
        <w:t>Μανώλης Κεφαλογιάννης</w:t>
      </w:r>
      <w:r w:rsidRPr="00175E82">
        <w:rPr>
          <w:rStyle w:val="HideTWBExt"/>
          <w:noProof w:val="0"/>
        </w:rPr>
        <w:t>&lt;/Depute&gt;</w:t>
      </w:r>
    </w:p>
    <w:p w:rsidR="001C5B44" w:rsidRPr="00175E82" w:rsidRDefault="001C5B44" w:rsidP="001C5B44">
      <w:pPr>
        <w:pStyle w:val="CoverNormal"/>
      </w:pPr>
    </w:p>
    <w:p w:rsidR="00B5144E" w:rsidRPr="00175E82" w:rsidRDefault="00271899" w:rsidP="0066616F">
      <w:r w:rsidRPr="00175E82">
        <w:br w:type="page"/>
      </w:r>
      <w:r w:rsidR="0049204D" w:rsidRPr="00175E82">
        <w:lastRenderedPageBreak/>
        <w:fldChar w:fldCharType="begin"/>
      </w:r>
      <w:r w:rsidRPr="00175E82">
        <w:instrText xml:space="preserve"> TITLE  \* MERGEFORMAT </w:instrText>
      </w:r>
      <w:r w:rsidR="0049204D" w:rsidRPr="00175E82">
        <w:fldChar w:fldCharType="separate"/>
      </w:r>
      <w:r>
        <w:t>PR_COD_1amCom</w:t>
      </w:r>
      <w:r w:rsidR="0049204D" w:rsidRPr="00175E82">
        <w:fldChar w:fldCharType="end"/>
      </w:r>
    </w:p>
    <w:p w:rsidR="00B5144E" w:rsidRPr="00175E82" w:rsidRDefault="00B5144E" w:rsidP="0066616F"/>
    <w:p w:rsidR="0049204D" w:rsidRPr="00175E82" w:rsidRDefault="0049204D" w:rsidP="0049204D">
      <w:pPr>
        <w:tabs>
          <w:tab w:val="center" w:pos="4677"/>
        </w:tabs>
      </w:pPr>
    </w:p>
    <w:tbl>
      <w:tblPr>
        <w:tblW w:w="0" w:type="auto"/>
        <w:tblInd w:w="166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811"/>
      </w:tblGrid>
      <w:tr w:rsidR="00FC0A79" w:rsidRPr="00175E82" w:rsidTr="00015BA9">
        <w:tc>
          <w:tcPr>
            <w:tcW w:w="5811" w:type="dxa"/>
          </w:tcPr>
          <w:p w:rsidR="0049204D" w:rsidRPr="00175E82" w:rsidRDefault="00271899" w:rsidP="00015BA9">
            <w:pPr>
              <w:pStyle w:val="Lgendetitre"/>
            </w:pPr>
            <w:r w:rsidRPr="00175E82">
              <w:t>Υπόμνημα για τα χρησιμοποιούμενα σύμβολα</w:t>
            </w:r>
          </w:p>
        </w:tc>
      </w:tr>
      <w:tr w:rsidR="00FC0A79" w:rsidRPr="00175E82" w:rsidTr="00015BA9">
        <w:trPr>
          <w:cantSplit/>
          <w:trHeight w:val="1949"/>
        </w:trPr>
        <w:tc>
          <w:tcPr>
            <w:tcW w:w="5811" w:type="dxa"/>
            <w:tcBorders>
              <w:bottom w:val="single" w:sz="4" w:space="0" w:color="auto"/>
            </w:tcBorders>
          </w:tcPr>
          <w:p w:rsidR="0049204D" w:rsidRPr="00175E82" w:rsidRDefault="00271899" w:rsidP="00015BA9">
            <w:pPr>
              <w:pStyle w:val="Lgendesigne"/>
            </w:pPr>
            <w:r w:rsidRPr="00175E82">
              <w:tab/>
              <w:t>*</w:t>
            </w:r>
            <w:r w:rsidRPr="00175E82">
              <w:tab/>
              <w:t>Διαδικασία διαβούλευσης</w:t>
            </w:r>
            <w:r w:rsidRPr="00175E82">
              <w:tab/>
            </w:r>
          </w:p>
          <w:p w:rsidR="0049204D" w:rsidRPr="00175E82" w:rsidRDefault="00271899" w:rsidP="00015BA9">
            <w:pPr>
              <w:pStyle w:val="Lgendesigne"/>
            </w:pPr>
            <w:r w:rsidRPr="00175E82">
              <w:tab/>
              <w:t>***</w:t>
            </w:r>
            <w:r w:rsidRPr="00175E82">
              <w:tab/>
              <w:t>Διαδικασία έγκρισης</w:t>
            </w:r>
          </w:p>
          <w:p w:rsidR="0049204D" w:rsidRPr="00175E82" w:rsidRDefault="00271899" w:rsidP="00015BA9">
            <w:pPr>
              <w:pStyle w:val="Lgendesigne"/>
            </w:pPr>
            <w:r w:rsidRPr="00175E82">
              <w:tab/>
              <w:t>***I</w:t>
            </w:r>
            <w:r w:rsidRPr="00175E82">
              <w:tab/>
              <w:t xml:space="preserve">Συνήθης νομοθετική διαδικασία </w:t>
            </w:r>
            <w:r w:rsidRPr="00175E82">
              <w:t>(πρώτη ανάγνωση)</w:t>
            </w:r>
          </w:p>
          <w:p w:rsidR="0049204D" w:rsidRPr="00175E82" w:rsidRDefault="00271899" w:rsidP="00015BA9">
            <w:pPr>
              <w:pStyle w:val="Lgendesigne"/>
            </w:pPr>
            <w:r w:rsidRPr="00175E82">
              <w:tab/>
              <w:t>***II</w:t>
            </w:r>
            <w:r w:rsidRPr="00175E82">
              <w:tab/>
              <w:t>Συνήθης νομοθετική διαδικασία (δεύτερη ανάγνωση)</w:t>
            </w:r>
          </w:p>
          <w:p w:rsidR="0049204D" w:rsidRPr="00175E82" w:rsidRDefault="00271899" w:rsidP="00015BA9">
            <w:pPr>
              <w:pStyle w:val="Lgendesigne"/>
            </w:pPr>
            <w:r w:rsidRPr="00175E82">
              <w:tab/>
              <w:t>***III</w:t>
            </w:r>
            <w:r w:rsidRPr="00175E82">
              <w:tab/>
              <w:t>Συνήθης νομοθετική διαδικασία (τρίτη ανάγνωση)</w:t>
            </w:r>
            <w:r w:rsidRPr="00175E82">
              <w:br/>
            </w:r>
          </w:p>
          <w:p w:rsidR="0049204D" w:rsidRPr="00175E82" w:rsidRDefault="00271899" w:rsidP="00015BA9">
            <w:pPr>
              <w:pStyle w:val="Lgendestandard"/>
            </w:pPr>
            <w:r w:rsidRPr="00175E82">
              <w:t>(Η ενδεικνυόμενη διαδικασία στηρίζεται στη νομική βάση που προτείνεται στο σχέδιο πράξης)</w:t>
            </w:r>
          </w:p>
          <w:p w:rsidR="0049204D" w:rsidRPr="00175E82" w:rsidRDefault="0049204D" w:rsidP="00015BA9">
            <w:pPr>
              <w:pStyle w:val="Lgendestandard"/>
            </w:pPr>
          </w:p>
        </w:tc>
      </w:tr>
    </w:tbl>
    <w:p w:rsidR="0049204D" w:rsidRPr="00175E82" w:rsidRDefault="0049204D" w:rsidP="0049204D"/>
    <w:p w:rsidR="0049204D" w:rsidRPr="00175E82" w:rsidRDefault="0049204D" w:rsidP="0049204D"/>
    <w:p w:rsidR="0049204D" w:rsidRPr="00175E82" w:rsidRDefault="0049204D" w:rsidP="0049204D"/>
    <w:tbl>
      <w:tblPr>
        <w:tblW w:w="0" w:type="auto"/>
        <w:tblInd w:w="1668" w:type="dxa"/>
        <w:tblBorders>
          <w:top w:val="single" w:sz="4" w:space="0" w:color="auto"/>
          <w:left w:val="single" w:sz="4" w:space="0" w:color="auto"/>
          <w:bottom w:val="single" w:sz="4" w:space="0" w:color="auto"/>
          <w:right w:val="single" w:sz="4" w:space="0" w:color="auto"/>
          <w:insideV w:val="single" w:sz="6" w:space="0" w:color="auto"/>
        </w:tblBorders>
        <w:tblLayout w:type="fixed"/>
        <w:tblLook w:val="0000" w:firstRow="0" w:lastRow="0" w:firstColumn="0" w:lastColumn="0" w:noHBand="0" w:noVBand="0"/>
      </w:tblPr>
      <w:tblGrid>
        <w:gridCol w:w="5811"/>
      </w:tblGrid>
      <w:tr w:rsidR="00FC0A79" w:rsidRPr="00175E82" w:rsidTr="00015BA9">
        <w:tc>
          <w:tcPr>
            <w:tcW w:w="5811" w:type="dxa"/>
          </w:tcPr>
          <w:p w:rsidR="0049204D" w:rsidRPr="00175E82" w:rsidRDefault="00271899" w:rsidP="00015BA9">
            <w:pPr>
              <w:pStyle w:val="Lgendetitre"/>
            </w:pPr>
            <w:r w:rsidRPr="00175E82">
              <w:t>Τροπολογίες σε σχέδιο πράξης</w:t>
            </w:r>
          </w:p>
        </w:tc>
      </w:tr>
      <w:tr w:rsidR="00FC0A79" w:rsidRPr="00175E82" w:rsidTr="00015BA9">
        <w:tc>
          <w:tcPr>
            <w:tcW w:w="5811" w:type="dxa"/>
          </w:tcPr>
          <w:p w:rsidR="0049204D" w:rsidRPr="00175E82" w:rsidRDefault="0049204D" w:rsidP="00015BA9">
            <w:pPr>
              <w:pStyle w:val="Lgendestandard"/>
            </w:pPr>
          </w:p>
          <w:p w:rsidR="0049204D" w:rsidRPr="00175E82" w:rsidRDefault="00271899" w:rsidP="00015BA9">
            <w:pPr>
              <w:pStyle w:val="Lgendestandard"/>
              <w:rPr>
                <w:szCs w:val="18"/>
              </w:rPr>
            </w:pPr>
            <w:r w:rsidRPr="00175E82">
              <w:rPr>
                <w:b/>
              </w:rPr>
              <w:t>Τροπολογίες του Κοινοβουλίου σε δύο στήλες</w:t>
            </w:r>
          </w:p>
          <w:p w:rsidR="0049204D" w:rsidRPr="00175E82" w:rsidRDefault="0049204D" w:rsidP="00015BA9">
            <w:pPr>
              <w:pStyle w:val="Lgendestandard"/>
              <w:rPr>
                <w:szCs w:val="18"/>
              </w:rPr>
            </w:pPr>
          </w:p>
          <w:p w:rsidR="0049204D" w:rsidRPr="00175E82" w:rsidRDefault="00271899" w:rsidP="00015BA9">
            <w:pPr>
              <w:pStyle w:val="Lgendestandard"/>
              <w:rPr>
                <w:szCs w:val="18"/>
              </w:rPr>
            </w:pPr>
            <w:r w:rsidRPr="00175E82">
              <w:t xml:space="preserve">Η διαγραφή κειμένου σημαίνεται με </w:t>
            </w:r>
            <w:r w:rsidRPr="00175E82">
              <w:rPr>
                <w:b/>
                <w:i/>
                <w:szCs w:val="18"/>
              </w:rPr>
              <w:t>πλάγιους έντονους χαρακτήρες</w:t>
            </w:r>
            <w:r w:rsidRPr="00175E82">
              <w:t xml:space="preserve"> στην αριστερή στήλη. Η αντικατάσταση κειμένου σημαίνεται με </w:t>
            </w:r>
            <w:r w:rsidRPr="00175E82">
              <w:rPr>
                <w:b/>
                <w:i/>
                <w:szCs w:val="18"/>
              </w:rPr>
              <w:t>πλάγιους έντονους χαρακτήρες</w:t>
            </w:r>
            <w:r w:rsidRPr="00175E82">
              <w:t xml:space="preserve"> και στις δύο στήλες. Το νέο κείμενο σημαίνεται με </w:t>
            </w:r>
            <w:r w:rsidRPr="00175E82">
              <w:rPr>
                <w:b/>
                <w:i/>
                <w:szCs w:val="18"/>
              </w:rPr>
              <w:t>πλάγιους έ</w:t>
            </w:r>
            <w:r w:rsidRPr="00175E82">
              <w:rPr>
                <w:b/>
                <w:i/>
                <w:szCs w:val="18"/>
              </w:rPr>
              <w:t>ντονους χαρακτήρες</w:t>
            </w:r>
            <w:r w:rsidRPr="00175E82">
              <w:t xml:space="preserve"> στη δεξιά στήλη.</w:t>
            </w:r>
          </w:p>
          <w:p w:rsidR="0049204D" w:rsidRPr="00175E82" w:rsidRDefault="0049204D" w:rsidP="00015BA9">
            <w:pPr>
              <w:pStyle w:val="Lgendestandard"/>
            </w:pPr>
          </w:p>
          <w:p w:rsidR="0049204D" w:rsidRPr="00175E82" w:rsidRDefault="00271899" w:rsidP="00015BA9">
            <w:pPr>
              <w:pStyle w:val="Lgendestandard"/>
            </w:pPr>
            <w:r w:rsidRPr="00175E82">
              <w:t>Η πρώτη και η δεύτερη γραμμή της επικεφαλίδας κάθε τροπολογίας προσδιορίζουν το σχετικό τμήμα του εξεταζόμενου σχεδίου πράξης. Εάν μία τροπολογία αναφέρεται σε ήδη υφιστάμενη πράξη την οποία το σχέδιο πράξης αποσκοπεί να τροποποιήσει, η επικεφαλίδα περιέχε</w:t>
            </w:r>
            <w:r w:rsidRPr="00175E82">
              <w:t xml:space="preserve">ι επιπλέον και μία τρίτη και μία τέταρτη γραμμή που προσδιορίζουν αντίστοιχα την υφιστάμενη πράξη και τη διάταξή της στην οποία αναφέρεται η τροπολογία. </w:t>
            </w:r>
          </w:p>
          <w:p w:rsidR="0049204D" w:rsidRPr="00175E82" w:rsidRDefault="0049204D" w:rsidP="00015BA9">
            <w:pPr>
              <w:pStyle w:val="Lgendestandard"/>
            </w:pPr>
          </w:p>
          <w:p w:rsidR="0049204D" w:rsidRPr="00175E82" w:rsidRDefault="00271899" w:rsidP="00015BA9">
            <w:pPr>
              <w:pStyle w:val="Lgendestandard"/>
              <w:rPr>
                <w:b/>
                <w:szCs w:val="18"/>
              </w:rPr>
            </w:pPr>
            <w:r w:rsidRPr="00175E82">
              <w:rPr>
                <w:b/>
                <w:szCs w:val="18"/>
              </w:rPr>
              <w:t>Τροπολογίες του Κοινοβουλίου με μορφή ενοποιημένου κειμένου</w:t>
            </w:r>
          </w:p>
          <w:p w:rsidR="0049204D" w:rsidRPr="00175E82" w:rsidRDefault="0049204D" w:rsidP="00015BA9">
            <w:pPr>
              <w:pStyle w:val="Lgendestandard"/>
              <w:rPr>
                <w:szCs w:val="18"/>
              </w:rPr>
            </w:pPr>
          </w:p>
          <w:p w:rsidR="0049204D" w:rsidRPr="00175E82" w:rsidRDefault="00271899" w:rsidP="00015BA9">
            <w:pPr>
              <w:pStyle w:val="Lgendestandard"/>
              <w:rPr>
                <w:szCs w:val="18"/>
              </w:rPr>
            </w:pPr>
            <w:r w:rsidRPr="00175E82">
              <w:t xml:space="preserve">Τα νέα τμήματα του κειμένου σημαίνονται </w:t>
            </w:r>
            <w:r w:rsidRPr="00175E82">
              <w:t xml:space="preserve">με </w:t>
            </w:r>
            <w:r w:rsidRPr="00175E82">
              <w:rPr>
                <w:b/>
                <w:i/>
              </w:rPr>
              <w:t>πλάγιους έντονους χαρακτήρες</w:t>
            </w:r>
            <w:r w:rsidRPr="00175E82">
              <w:t xml:space="preserve">. Τα τμήματα του κειμένου που απαλείφονται σημαίνονται με το σύμβολο ▌ ή με διαγραφή. Η αντικατάσταση κειμένου σημαίνεται με </w:t>
            </w:r>
            <w:r w:rsidRPr="00175E82">
              <w:rPr>
                <w:b/>
                <w:i/>
                <w:szCs w:val="18"/>
              </w:rPr>
              <w:t>πλάγιους έντονους χαρακτήρες</w:t>
            </w:r>
            <w:r w:rsidRPr="00175E82">
              <w:t xml:space="preserve"> που υποδηλώνουν το νέο κείμενο και με διαγραφή του κειμένου που αντικαθ</w:t>
            </w:r>
            <w:r w:rsidRPr="00175E82">
              <w:t xml:space="preserve">ίσταται. </w:t>
            </w:r>
          </w:p>
          <w:p w:rsidR="0049204D" w:rsidRPr="00175E82" w:rsidRDefault="00271899" w:rsidP="00015BA9">
            <w:pPr>
              <w:pStyle w:val="Lgendestandard"/>
            </w:pPr>
            <w:r w:rsidRPr="00175E82">
              <w:t>Κατ’ εξαίρεση, δεν σημαίνονται οι τροποποιήσεις αυστηρά τεχνικής φύσης που επιφέρουν οι υπηρεσίες κατά την επεξεργασία του τελικού κειμένου.</w:t>
            </w:r>
          </w:p>
          <w:p w:rsidR="0049204D" w:rsidRPr="00175E82" w:rsidRDefault="0049204D" w:rsidP="00015BA9">
            <w:pPr>
              <w:pStyle w:val="Lgendestandard"/>
            </w:pPr>
          </w:p>
        </w:tc>
      </w:tr>
    </w:tbl>
    <w:p w:rsidR="0049204D" w:rsidRPr="00175E82" w:rsidRDefault="0049204D" w:rsidP="0049204D">
      <w:pPr>
        <w:tabs>
          <w:tab w:val="left" w:pos="-1134"/>
          <w:tab w:val="left" w:pos="-114"/>
          <w:tab w:val="left" w:pos="772"/>
          <w:tab w:val="left" w:pos="1089"/>
          <w:tab w:val="left" w:pos="1700"/>
          <w:tab w:val="left" w:pos="2266"/>
          <w:tab w:val="left" w:pos="3140"/>
          <w:tab w:val="left" w:pos="3399"/>
          <w:tab w:val="left" w:pos="3966"/>
          <w:tab w:val="left" w:pos="4532"/>
          <w:tab w:val="left" w:pos="5098"/>
          <w:tab w:val="left" w:pos="5665"/>
          <w:tab w:val="left" w:pos="6231"/>
          <w:tab w:val="left" w:pos="6798"/>
          <w:tab w:val="left" w:pos="7364"/>
          <w:tab w:val="left" w:pos="7930"/>
          <w:tab w:val="left" w:pos="8497"/>
          <w:tab w:val="left" w:pos="9063"/>
        </w:tabs>
      </w:pPr>
    </w:p>
    <w:p w:rsidR="0049204D" w:rsidRPr="00175E82" w:rsidRDefault="0049204D" w:rsidP="0049204D">
      <w:pPr>
        <w:tabs>
          <w:tab w:val="left" w:pos="-1134"/>
          <w:tab w:val="left" w:pos="-114"/>
          <w:tab w:val="left" w:pos="772"/>
          <w:tab w:val="left" w:pos="1089"/>
          <w:tab w:val="left" w:pos="1700"/>
          <w:tab w:val="left" w:pos="2266"/>
          <w:tab w:val="left" w:pos="3140"/>
          <w:tab w:val="left" w:pos="3399"/>
          <w:tab w:val="left" w:pos="3966"/>
          <w:tab w:val="left" w:pos="4532"/>
          <w:tab w:val="left" w:pos="5098"/>
          <w:tab w:val="left" w:pos="5665"/>
          <w:tab w:val="left" w:pos="6231"/>
          <w:tab w:val="left" w:pos="6798"/>
          <w:tab w:val="left" w:pos="7364"/>
          <w:tab w:val="left" w:pos="7930"/>
          <w:tab w:val="left" w:pos="8497"/>
          <w:tab w:val="left" w:pos="9063"/>
        </w:tabs>
      </w:pPr>
    </w:p>
    <w:p w:rsidR="00793EA9" w:rsidRPr="00175E82" w:rsidRDefault="00793EA9" w:rsidP="00012351">
      <w:pPr>
        <w:widowControl/>
        <w:tabs>
          <w:tab w:val="center" w:pos="4677"/>
        </w:tabs>
      </w:pPr>
    </w:p>
    <w:p w:rsidR="00793EA9" w:rsidRPr="00175E82" w:rsidRDefault="00271899">
      <w:pPr>
        <w:pStyle w:val="TOCHeading"/>
      </w:pPr>
      <w:r w:rsidRPr="00175E82">
        <w:br w:type="page"/>
        <w:t>ΠΕΡΙΕΧΟΜΕΝΑ</w:t>
      </w:r>
    </w:p>
    <w:p w:rsidR="00793EA9" w:rsidRPr="00175E82" w:rsidRDefault="00271899">
      <w:pPr>
        <w:pStyle w:val="TOCPage"/>
      </w:pPr>
      <w:r w:rsidRPr="00175E82">
        <w:t>Σελίδα</w:t>
      </w:r>
    </w:p>
    <w:p w:rsidR="00271899" w:rsidRDefault="00271899">
      <w:pPr>
        <w:pStyle w:val="TOC1"/>
        <w:tabs>
          <w:tab w:val="right" w:leader="dot" w:pos="9060"/>
        </w:tabs>
        <w:rPr>
          <w:rFonts w:asciiTheme="minorHAnsi" w:eastAsiaTheme="minorEastAsia" w:hAnsiTheme="minorHAnsi" w:cstheme="minorBidi"/>
          <w:noProof/>
          <w:sz w:val="22"/>
          <w:szCs w:val="22"/>
          <w:lang w:val="en-GB"/>
        </w:rPr>
      </w:pPr>
      <w:r w:rsidRPr="00175E82">
        <w:rPr>
          <w:b/>
        </w:rPr>
        <w:fldChar w:fldCharType="begin"/>
      </w:r>
      <w:r w:rsidRPr="00175E82">
        <w:rPr>
          <w:b/>
        </w:rPr>
        <w:instrText xml:space="preserve"> TOC \t "PageHeading</w:instrText>
      </w:r>
      <w:r w:rsidR="00175E82" w:rsidRPr="00175E82">
        <w:rPr>
          <w:b/>
        </w:rPr>
        <w:instrText>;</w:instrText>
      </w:r>
      <w:r w:rsidRPr="00175E82">
        <w:rPr>
          <w:b/>
        </w:rPr>
        <w:instrText xml:space="preserve">1" </w:instrText>
      </w:r>
      <w:r w:rsidRPr="00175E82">
        <w:rPr>
          <w:b/>
        </w:rPr>
        <w:fldChar w:fldCharType="separate"/>
      </w:r>
      <w:r>
        <w:rPr>
          <w:noProof/>
        </w:rPr>
        <w:t>ΣΧΕΔΙΟ ΝΟΜΟΘΕΤΙΚΟΥ ΨΗΦΙΣΜΑΤΟΣ ΤΟΥ ΕΥΡΩΠΑΪΚΟΥ ΚΟΙΝΟΒΟΥΛΙΟΥ</w:t>
      </w:r>
      <w:r>
        <w:rPr>
          <w:noProof/>
        </w:rPr>
        <w:tab/>
      </w:r>
      <w:r>
        <w:rPr>
          <w:noProof/>
        </w:rPr>
        <w:fldChar w:fldCharType="begin"/>
      </w:r>
      <w:r>
        <w:rPr>
          <w:noProof/>
        </w:rPr>
        <w:instrText xml:space="preserve"> PAGEREF _Toc37772113 \h </w:instrText>
      </w:r>
      <w:r>
        <w:rPr>
          <w:noProof/>
        </w:rPr>
      </w:r>
      <w:r>
        <w:rPr>
          <w:noProof/>
        </w:rPr>
        <w:fldChar w:fldCharType="separate"/>
      </w:r>
      <w:r>
        <w:rPr>
          <w:noProof/>
        </w:rPr>
        <w:t>5</w:t>
      </w:r>
      <w:r>
        <w:rPr>
          <w:noProof/>
        </w:rPr>
        <w:fldChar w:fldCharType="end"/>
      </w:r>
    </w:p>
    <w:p w:rsidR="00271899" w:rsidRDefault="00271899">
      <w:pPr>
        <w:pStyle w:val="TOC1"/>
        <w:tabs>
          <w:tab w:val="right" w:leader="dot" w:pos="9060"/>
        </w:tabs>
        <w:rPr>
          <w:rFonts w:asciiTheme="minorHAnsi" w:eastAsiaTheme="minorEastAsia" w:hAnsiTheme="minorHAnsi" w:cstheme="minorBidi"/>
          <w:noProof/>
          <w:sz w:val="22"/>
          <w:szCs w:val="22"/>
          <w:lang w:val="en-GB"/>
        </w:rPr>
      </w:pPr>
      <w:r>
        <w:rPr>
          <w:noProof/>
        </w:rPr>
        <w:t>ΑΙΤΙΟΛΟΓΙΚΗ ΕΚΘΕΣΗ</w:t>
      </w:r>
      <w:r>
        <w:rPr>
          <w:noProof/>
        </w:rPr>
        <w:tab/>
      </w:r>
      <w:r>
        <w:rPr>
          <w:noProof/>
        </w:rPr>
        <w:fldChar w:fldCharType="begin"/>
      </w:r>
      <w:r>
        <w:rPr>
          <w:noProof/>
        </w:rPr>
        <w:instrText xml:space="preserve"> PAGEREF _Toc37772114 \h </w:instrText>
      </w:r>
      <w:r>
        <w:rPr>
          <w:noProof/>
        </w:rPr>
      </w:r>
      <w:r>
        <w:rPr>
          <w:noProof/>
        </w:rPr>
        <w:fldChar w:fldCharType="separate"/>
      </w:r>
      <w:r>
        <w:rPr>
          <w:noProof/>
        </w:rPr>
        <w:t>33</w:t>
      </w:r>
      <w:r>
        <w:rPr>
          <w:noProof/>
        </w:rPr>
        <w:fldChar w:fldCharType="end"/>
      </w:r>
    </w:p>
    <w:p w:rsidR="002346B0" w:rsidRPr="00175E82" w:rsidRDefault="00271899" w:rsidP="00C23324">
      <w:r w:rsidRPr="00175E82">
        <w:rPr>
          <w:b/>
        </w:rPr>
        <w:fldChar w:fldCharType="end"/>
      </w:r>
    </w:p>
    <w:p w:rsidR="00793EA9" w:rsidRPr="00175E82" w:rsidRDefault="00271899">
      <w:pPr>
        <w:pStyle w:val="PageHeading"/>
      </w:pPr>
      <w:r w:rsidRPr="00175E82">
        <w:br w:type="page"/>
      </w:r>
      <w:r w:rsidRPr="00175E82">
        <w:br w:type="page"/>
      </w:r>
      <w:bookmarkStart w:id="1" w:name="_Toc37772113"/>
      <w:r w:rsidRPr="00175E82">
        <w:t>ΣΧΕΔΙΟ ΝΟΜΟΘΕΤΙΚΟΥ ΨΗΦΙΣΜΑΤΟΣ ΤΟΥ ΕΥΡΩΠΑΪΚΟΥ ΚΟΙΝΟΒΟΥΛΙΟΥ</w:t>
      </w:r>
      <w:bookmarkEnd w:id="1"/>
    </w:p>
    <w:p w:rsidR="00793EA9" w:rsidRPr="00175E82" w:rsidRDefault="00271899">
      <w:pPr>
        <w:pStyle w:val="NormalBold"/>
      </w:pPr>
      <w:r w:rsidRPr="00175E82">
        <w:t>σχετικά με την πρόταση κανονισμού του Ευρωπαϊκού Κοινοβουλίου και του Συμβουλίου για τη θέσπιση του Ταμείου Δίκαιης Μετάβασης</w:t>
      </w:r>
    </w:p>
    <w:p w:rsidR="00793EA9" w:rsidRPr="00175E82" w:rsidRDefault="00271899">
      <w:pPr>
        <w:pStyle w:val="NormalBold12a"/>
      </w:pPr>
      <w:r w:rsidRPr="00175E82">
        <w:t>(C</w:t>
      </w:r>
      <w:r w:rsidRPr="00175E82">
        <w:t>OM(2020)0022 – C9-0007/2020 – 2020/0006(COD))</w:t>
      </w:r>
    </w:p>
    <w:p w:rsidR="00793EA9" w:rsidRPr="00175E82" w:rsidRDefault="00271899" w:rsidP="00A910C9">
      <w:pPr>
        <w:pStyle w:val="NormalBold"/>
      </w:pPr>
      <w:r w:rsidRPr="00175E82">
        <w:t>(Συνήθης νομοθετική διαδικασία: πρώτη ανάγνωση)</w:t>
      </w:r>
    </w:p>
    <w:p w:rsidR="00793EA9" w:rsidRPr="00175E82" w:rsidRDefault="00271899" w:rsidP="00A910C9">
      <w:pPr>
        <w:pStyle w:val="EPComma"/>
      </w:pPr>
      <w:r w:rsidRPr="00175E82">
        <w:rPr>
          <w:i/>
        </w:rPr>
        <w:t>Το Ευρωπαϊκό Κοινοβούλιο</w:t>
      </w:r>
      <w:r w:rsidRPr="00175E82">
        <w:t>,</w:t>
      </w:r>
    </w:p>
    <w:p w:rsidR="00793EA9" w:rsidRPr="00175E82" w:rsidRDefault="00271899">
      <w:pPr>
        <w:pStyle w:val="NormalHanging12a"/>
      </w:pPr>
      <w:r w:rsidRPr="00175E82">
        <w:t>–</w:t>
      </w:r>
      <w:r w:rsidRPr="00175E82">
        <w:tab/>
        <w:t>έχοντας υπόψη την πρόταση της Επιτροπής προς το Κοινοβούλιο και το Συμβούλιο (COM(2020)0022),</w:t>
      </w:r>
    </w:p>
    <w:p w:rsidR="00793EA9" w:rsidRPr="00175E82" w:rsidRDefault="00271899">
      <w:pPr>
        <w:pStyle w:val="NormalHanging12a"/>
      </w:pPr>
      <w:r w:rsidRPr="00175E82">
        <w:t>–</w:t>
      </w:r>
      <w:r w:rsidRPr="00175E82">
        <w:tab/>
        <w:t xml:space="preserve">έχοντας υπόψη το άρθρο 294 παράγραφος </w:t>
      </w:r>
      <w:r w:rsidRPr="00175E82">
        <w:t>2 και το άρθρο 175 τρίτο εδάφιο της Συνθήκης για τη λειτουργία της Ευρωπαϊκής Ένωσης, σύμφωνα με τα οποία του υποβλήθηκε η πρόταση από την Επιτροπή (C9-0007/2020),</w:t>
      </w:r>
    </w:p>
    <w:p w:rsidR="00A26F46" w:rsidRPr="00175E82" w:rsidRDefault="00271899" w:rsidP="00A26F46">
      <w:pPr>
        <w:pStyle w:val="NormalHanging12a"/>
      </w:pPr>
      <w:r w:rsidRPr="00175E82">
        <w:t>–</w:t>
      </w:r>
      <w:r w:rsidRPr="00175E82">
        <w:tab/>
        <w:t>έχοντας υπόψη το άρθρο 294 παράγραφος 3 της Συνθήκης για τη λειτουργία της Ευρωπαϊκής Ένωσ</w:t>
      </w:r>
      <w:r w:rsidRPr="00175E82">
        <w:t>ης,</w:t>
      </w:r>
    </w:p>
    <w:p w:rsidR="00B5144E" w:rsidRPr="00175E82" w:rsidRDefault="00271899" w:rsidP="00AD7FA6">
      <w:pPr>
        <w:pStyle w:val="NormalHanging12a"/>
      </w:pPr>
      <w:r w:rsidRPr="00175E82">
        <w:t>–</w:t>
      </w:r>
      <w:r w:rsidRPr="00175E82">
        <w:tab/>
        <w:t>έχοντας υπόψη τη γνώμη της Ευρωπαϊκής Οικονομικής και Κοινωνικής Επιτροπής της ...</w:t>
      </w:r>
      <w:r w:rsidRPr="00175E82">
        <w:rPr>
          <w:rStyle w:val="FootnoteReference"/>
        </w:rPr>
        <w:footnoteReference w:id="1"/>
      </w:r>
      <w:r w:rsidRPr="00175E82">
        <w:t>,</w:t>
      </w:r>
    </w:p>
    <w:p w:rsidR="00B5144E" w:rsidRPr="00175E82" w:rsidRDefault="00271899" w:rsidP="00B5144E">
      <w:pPr>
        <w:pStyle w:val="NormalHanging12a"/>
      </w:pPr>
      <w:r w:rsidRPr="00175E82">
        <w:t>–</w:t>
      </w:r>
      <w:r w:rsidRPr="00175E82">
        <w:tab/>
        <w:t>έχοντας υπόψη τη γνώμη της Επιτροπής των Περιφερειών της ...</w:t>
      </w:r>
      <w:r w:rsidRPr="00175E82">
        <w:rPr>
          <w:rStyle w:val="FootnoteReference"/>
        </w:rPr>
        <w:footnoteReference w:id="2"/>
      </w:r>
      <w:r w:rsidRPr="00175E82">
        <w:t>,</w:t>
      </w:r>
    </w:p>
    <w:p w:rsidR="00793EA9" w:rsidRPr="00175E82" w:rsidRDefault="00271899">
      <w:pPr>
        <w:pStyle w:val="NormalHanging12a"/>
      </w:pPr>
      <w:r w:rsidRPr="00175E82">
        <w:t>–</w:t>
      </w:r>
      <w:r w:rsidRPr="00175E82">
        <w:tab/>
        <w:t>έχοντας υπόψη το άρθρο 59 του Κανονισμού του,</w:t>
      </w:r>
    </w:p>
    <w:p w:rsidR="006A2F5D" w:rsidRPr="00175E82" w:rsidRDefault="00271899" w:rsidP="006A2F5D">
      <w:pPr>
        <w:pStyle w:val="NormalHanging12a"/>
      </w:pPr>
      <w:r w:rsidRPr="00175E82">
        <w:t>–</w:t>
      </w:r>
      <w:r w:rsidRPr="00175E82">
        <w:tab/>
        <w:t>έχοντας υπόψη τις γνωμοδοτήσεις της Επιτροπής Προϋ</w:t>
      </w:r>
      <w:r w:rsidRPr="00175E82">
        <w:t xml:space="preserve">πολογισμών, της Επιτροπής Απασχόλησης και Κοινωνικών Υποθέσεων, της Επιτροπής Περιβάλλοντος, Δημόσιας Υγείας και Ασφάλειας των Τροφίμων, της Επιτροπής Βιομηχανίας, Έρευνας και Ενέργειας, της Επιτροπής Μεταφορών και Τουρισμού και της Επιτροπής Γεωργίας και </w:t>
      </w:r>
      <w:r w:rsidRPr="00175E82">
        <w:t>Ανάπτυξης της Υπαίθρου,</w:t>
      </w:r>
    </w:p>
    <w:p w:rsidR="006A2F5D" w:rsidRPr="00175E82" w:rsidRDefault="00271899" w:rsidP="006A2F5D">
      <w:pPr>
        <w:pStyle w:val="NormalHanging12a"/>
      </w:pPr>
      <w:r w:rsidRPr="00175E82">
        <w:t>–</w:t>
      </w:r>
      <w:r w:rsidRPr="00175E82">
        <w:tab/>
        <w:t>έχοντας υπόψη την έκθεση της Επιτροπής Περιφερειακής Ανάπτυξης (A9-0000/2020),</w:t>
      </w:r>
    </w:p>
    <w:p w:rsidR="009F6C2F" w:rsidRPr="00175E82" w:rsidRDefault="00271899" w:rsidP="009F6C2F">
      <w:pPr>
        <w:pStyle w:val="NormalHanging12a"/>
      </w:pPr>
      <w:r w:rsidRPr="00175E82">
        <w:t>1.</w:t>
      </w:r>
      <w:r w:rsidRPr="00175E82">
        <w:tab/>
        <w:t>εγκρίνει τη θέση του σε πρώτη ανάγνωση όπως παρατίθεται κατωτέρω·</w:t>
      </w:r>
    </w:p>
    <w:p w:rsidR="009F6C2F" w:rsidRPr="00175E82" w:rsidRDefault="00271899" w:rsidP="009F6C2F">
      <w:pPr>
        <w:pStyle w:val="NormalHanging12a"/>
      </w:pPr>
      <w:r w:rsidRPr="00175E82">
        <w:t>2.</w:t>
      </w:r>
      <w:r w:rsidRPr="00175E82">
        <w:tab/>
        <w:t xml:space="preserve">ζητεί από την Επιτροπή να υποβάλει εκ νέου την πρόταση στο Κοινοβούλιο, αν την </w:t>
      </w:r>
      <w:r w:rsidRPr="00175E82">
        <w:t>αντικαταστήσει με νέο κείμενο, αν της επιφέρει σημαντικές τροποποιήσεις ή αν προτίθεται να της επιφέρει σημαντικές τροποποιήσεις·</w:t>
      </w:r>
    </w:p>
    <w:p w:rsidR="009F6C2F" w:rsidRPr="00175E82" w:rsidRDefault="00271899" w:rsidP="009F6C2F">
      <w:pPr>
        <w:pStyle w:val="NormalHanging12a"/>
      </w:pPr>
      <w:r w:rsidRPr="00175E82">
        <w:t>3.</w:t>
      </w:r>
      <w:r w:rsidRPr="00175E82">
        <w:tab/>
        <w:t>αναθέτει στον Πρόεδρό του να διαβιβάσει τη θέση του Κοινοβουλίου στο Συμβούλιο, στην Επιτροπή και στα εθνικά κοινοβούλια.</w:t>
      </w:r>
    </w:p>
    <w:p w:rsidR="00D30DE2" w:rsidRPr="00175E82" w:rsidRDefault="00D30DE2" w:rsidP="00D30DE2"/>
    <w:p w:rsidR="002669B6" w:rsidRPr="00175E82" w:rsidRDefault="00271899" w:rsidP="00212B84">
      <w:pPr>
        <w:pStyle w:val="AmNumberTabs"/>
        <w:keepNext/>
      </w:pPr>
      <w:r w:rsidRPr="00175E82">
        <w:rPr>
          <w:rStyle w:val="HideTWBExt"/>
          <w:b w:val="0"/>
          <w:noProof w:val="0"/>
        </w:rPr>
        <w:t>&lt;RepeatBlock-Amend&gt;</w:t>
      </w:r>
      <w:bookmarkStart w:id="2" w:name="restart"/>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w:t>
      </w:r>
      <w:r w:rsidRPr="00175E82">
        <w:rPr>
          <w:rStyle w:val="HideTWBExt"/>
          <w:b w:val="0"/>
          <w:noProof w:val="0"/>
        </w:rPr>
        <w:t>&lt;/NumAm&gt;</w:t>
      </w:r>
    </w:p>
    <w:p w:rsidR="002669B6" w:rsidRPr="00175E82" w:rsidRDefault="00271899" w:rsidP="00212B84">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2669B6" w:rsidRPr="00175E82" w:rsidRDefault="00271899" w:rsidP="00DA6ED0">
      <w:pPr>
        <w:pStyle w:val="NormalBold"/>
        <w:keepNext/>
      </w:pPr>
      <w:r w:rsidRPr="00175E82">
        <w:rPr>
          <w:rStyle w:val="HideTWBExt"/>
          <w:b w:val="0"/>
          <w:noProof w:val="0"/>
        </w:rPr>
        <w:t>&lt;Article&gt;</w:t>
      </w:r>
      <w:r w:rsidRPr="00175E82">
        <w:t>Αιτιολογική σκέψη 7</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2669B6" w:rsidRPr="00175E82" w:rsidRDefault="002669B6" w:rsidP="00DA6ED0">
            <w:pPr>
              <w:keepNext/>
            </w:pPr>
          </w:p>
        </w:tc>
      </w:tr>
      <w:tr w:rsidR="00FC0A79" w:rsidRPr="00175E82" w:rsidTr="002669B6">
        <w:trPr>
          <w:jc w:val="center"/>
        </w:trPr>
        <w:tc>
          <w:tcPr>
            <w:tcW w:w="4876" w:type="dxa"/>
          </w:tcPr>
          <w:p w:rsidR="002669B6" w:rsidRPr="00175E82" w:rsidRDefault="00271899" w:rsidP="00DA6ED0">
            <w:pPr>
              <w:pStyle w:val="AmColumnHeading"/>
              <w:keepNext/>
            </w:pPr>
            <w:r w:rsidRPr="00175E82">
              <w:t>Κείμενο που προτείνει η Επιτροπή</w:t>
            </w:r>
          </w:p>
        </w:tc>
        <w:tc>
          <w:tcPr>
            <w:tcW w:w="4876" w:type="dxa"/>
          </w:tcPr>
          <w:p w:rsidR="002669B6"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2669B6" w:rsidRPr="00175E82" w:rsidRDefault="00271899" w:rsidP="002669B6">
            <w:pPr>
              <w:pStyle w:val="Normal6a"/>
            </w:pPr>
            <w:r w:rsidRPr="00175E82">
              <w:t>(7)</w:t>
            </w:r>
            <w:r w:rsidRPr="00175E82">
              <w:tab/>
              <w:t xml:space="preserve">Οι πόροι του ΤΔΜ θα πρέπει να συμπληρώνουν τους πόρους που διατίθενται </w:t>
            </w:r>
            <w:r w:rsidRPr="00175E82">
              <w:t>στο πλαίσιο της πολιτικής για τη συνοχή.</w:t>
            </w:r>
          </w:p>
        </w:tc>
        <w:tc>
          <w:tcPr>
            <w:tcW w:w="4876" w:type="dxa"/>
          </w:tcPr>
          <w:p w:rsidR="002669B6" w:rsidRPr="00175E82" w:rsidRDefault="00271899" w:rsidP="00566BF0">
            <w:pPr>
              <w:pStyle w:val="Normal6a"/>
              <w:rPr>
                <w:szCs w:val="24"/>
              </w:rPr>
            </w:pPr>
            <w:r w:rsidRPr="00175E82">
              <w:t>(7)</w:t>
            </w:r>
            <w:r w:rsidRPr="00175E82">
              <w:tab/>
              <w:t xml:space="preserve">Οι πόροι του ΤΔΜ θα πρέπει να συμπληρώνουν τους πόρους που διατίθενται στο πλαίσιο της πολιτικής για τη συνοχή. </w:t>
            </w:r>
            <w:r w:rsidRPr="00175E82">
              <w:rPr>
                <w:b/>
                <w:i/>
              </w:rPr>
              <w:t>Η θέσπιση του ΤΔΜ δεν θα πρέπει να οδηγήσει σε περικοπές στα ταμεία που καλύπτονται από τον κανονισ</w:t>
            </w:r>
            <w:r w:rsidRPr="00175E82">
              <w:rPr>
                <w:b/>
                <w:i/>
              </w:rPr>
              <w:t>μό (ΕΕ) .../... [νέος ΚΚΔ], ή σε μεταφορές από αυτά.</w:t>
            </w:r>
          </w:p>
        </w:tc>
      </w:tr>
    </w:tbl>
    <w:p w:rsidR="002669B6" w:rsidRPr="00175E82" w:rsidRDefault="00271899" w:rsidP="002669B6">
      <w:pPr>
        <w:pStyle w:val="AmOrLang"/>
      </w:pPr>
      <w:r w:rsidRPr="00175E82">
        <w:t xml:space="preserve">Or. </w:t>
      </w:r>
      <w:r w:rsidRPr="00175E82">
        <w:rPr>
          <w:rStyle w:val="HideTWBExt"/>
          <w:noProof w:val="0"/>
        </w:rPr>
        <w:t>&lt;Original&gt;</w:t>
      </w:r>
      <w:r w:rsidR="00B60FE2" w:rsidRPr="00175E82">
        <w:rPr>
          <w:rStyle w:val="HideTWBInt"/>
        </w:rPr>
        <w:t>{EN}</w:t>
      </w:r>
      <w:r w:rsidR="00B60FE2" w:rsidRPr="00175E82">
        <w:t>en</w:t>
      </w:r>
      <w:r w:rsidRPr="00175E82">
        <w:rPr>
          <w:rStyle w:val="HideTWBExt"/>
          <w:noProof w:val="0"/>
        </w:rPr>
        <w:t>&lt;/Original&gt;</w:t>
      </w:r>
    </w:p>
    <w:p w:rsidR="002669B6" w:rsidRPr="00175E82" w:rsidRDefault="00271899" w:rsidP="002669B6">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2669B6" w:rsidRPr="00175E82" w:rsidRDefault="00271899" w:rsidP="002669B6">
      <w:pPr>
        <w:pStyle w:val="AmJustText"/>
      </w:pPr>
      <w:r w:rsidRPr="00175E82">
        <w:t xml:space="preserve">Το Ευρωπαϊκό Κοινοβούλιο έχει καταστήσει σαφές πολλές φορές ότι οι φιλόδοξοι στόχοι πολιτικής της Ευρωπαϊκής Ένωσης πρέπει να </w:t>
      </w:r>
      <w:r w:rsidRPr="00175E82">
        <w:t>επιτευχθούν μέσω ενός φιλόδοξου προϋπολογισμού. Η σύσταση του νέου αυτού ταμείου δεν πρέπει να οδηγήσει σε περικοπές άλλων ουσιωδών μέσων της περιφερειακής πολιτικής της Ένωσης.</w:t>
      </w:r>
    </w:p>
    <w:p w:rsidR="002669B6" w:rsidRPr="00175E82" w:rsidRDefault="00271899" w:rsidP="002669B6">
      <w:r w:rsidRPr="00175E82">
        <w:rPr>
          <w:rStyle w:val="HideTWBExt"/>
          <w:noProof w:val="0"/>
        </w:rPr>
        <w:t>&lt;/Amend&gt;</w:t>
      </w:r>
      <w:bookmarkEnd w:id="2"/>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Αιτιολογική σκέψη 8</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B5144E" w:rsidRPr="00175E82" w:rsidRDefault="00B5144E" w:rsidP="00DA6ED0">
            <w:pPr>
              <w:keepNext/>
            </w:pPr>
          </w:p>
        </w:tc>
      </w:tr>
      <w:tr w:rsidR="00FC0A79" w:rsidRPr="00175E82" w:rsidTr="002669B6">
        <w:trPr>
          <w:jc w:val="center"/>
        </w:trPr>
        <w:tc>
          <w:tcPr>
            <w:tcW w:w="4876" w:type="dxa"/>
          </w:tcPr>
          <w:p w:rsidR="00B5144E" w:rsidRPr="00175E82" w:rsidRDefault="00271899" w:rsidP="00DA6ED0">
            <w:pPr>
              <w:pStyle w:val="AmColumnHeading"/>
              <w:keepNext/>
            </w:pPr>
            <w:r w:rsidRPr="00175E82">
              <w:t>Κείμενο που προτείνει η Επιτροπή</w:t>
            </w:r>
          </w:p>
        </w:tc>
        <w:tc>
          <w:tcPr>
            <w:tcW w:w="4876" w:type="dxa"/>
          </w:tcPr>
          <w:p w:rsidR="00B5144E"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B5144E" w:rsidRPr="00175E82" w:rsidRDefault="00271899" w:rsidP="002669B6">
            <w:pPr>
              <w:pStyle w:val="Normal6a"/>
            </w:pPr>
            <w:r w:rsidRPr="00175E82">
              <w:t>(8)</w:t>
            </w:r>
            <w:r w:rsidRPr="00175E82">
              <w:tab/>
              <w:t xml:space="preserve">Η μετάβαση προς μια κλιματικά ουδέτερη οικονομία είναι δύσκολο εγχείρημα για όλα τα κράτη μέλη. Θα είναι δε ιδιαίτερα δύσκολο για εκείνα τα κράτη μέλη τα </w:t>
            </w:r>
            <w:r w:rsidRPr="00175E82">
              <w:t xml:space="preserve">οποία εξαρτώνται σε μεγάλο βαθμό από ορυκτά καύσιμα ή βιομηχανικές δραστηριότητες έντασης εκπομπών αερίων του θερμοκηπίου, που πρόκειται να καταργηθούν σταδιακά ή χρειάζεται να προσαρμοστούν λόγω της μετάβασης προς την κλιματική ουδετερότητα, και τα οποία </w:t>
            </w:r>
            <w:r w:rsidRPr="00175E82">
              <w:t>δεν διαθέτουν τα οικονομικά μέσα γι’ αυτό τον σκοπό. Το ΤΔΜ θα πρέπει, επομένως, να καλύπτει όλα τα κράτη μέλη, ωστόσο η κατανομή των χρηματοδοτικών του μέσων θα πρέπει να αποτυπώνει την ικανότητα των κρατών μελών να χρηματοδοτήσουν τις απαραίτητες επενδύσ</w:t>
            </w:r>
            <w:r w:rsidRPr="00175E82">
              <w:t>εις, ώστε να αντεπεξέλθουν στη μετάβαση προς την κλιματική ουδετερότητα.</w:t>
            </w:r>
          </w:p>
        </w:tc>
        <w:tc>
          <w:tcPr>
            <w:tcW w:w="4876" w:type="dxa"/>
          </w:tcPr>
          <w:p w:rsidR="00B5144E" w:rsidRPr="00175E82" w:rsidRDefault="00271899" w:rsidP="003331DB">
            <w:pPr>
              <w:pStyle w:val="Normal6a"/>
              <w:rPr>
                <w:szCs w:val="24"/>
              </w:rPr>
            </w:pPr>
            <w:r w:rsidRPr="00175E82">
              <w:t>(8)</w:t>
            </w:r>
            <w:r w:rsidRPr="00175E82">
              <w:tab/>
              <w:t xml:space="preserve">Η μετάβαση προς μια κλιματικά ουδέτερη οικονομία είναι δύσκολο εγχείρημα για όλα τα κράτη μέλη. Θα είναι δε ιδιαίτερα δύσκολο για εκείνα τα κράτη μέλη τα οποία εξαρτώνται σε </w:t>
            </w:r>
            <w:r w:rsidRPr="00175E82">
              <w:t>μεγάλο βαθμό από ορυκτά καύσιμα ή βιομηχανικές δραστηριότητες έντασης εκπομπών αερίων του θερμοκηπίου, που πρόκειται να καταργηθούν σταδιακά ή χρειάζεται να προσαρμοστούν λόγω της μετάβασης προς την κλιματική ουδετερότητα, και τα οποία δεν διαθέτουν τα οικ</w:t>
            </w:r>
            <w:r w:rsidRPr="00175E82">
              <w:t>ονομικά μέσα γι’ αυτό τον σκοπό.</w:t>
            </w:r>
            <w:r w:rsidRPr="00175E82">
              <w:rPr>
                <w:b/>
                <w:i/>
              </w:rPr>
              <w:t>Στο πλαίσιο αυτό, θα πρέπει να δοθεί ιδιαίτερη προσοχή σε νησιωτικές ή απομακρυσμένες περιοχές των οποίων ο μικρός πληθυσμός καθιστά δυσχερέστερη την επίτευξη της ενεργειακής μετάβασης προς την κλιματική ουδετερότητα.</w:t>
            </w:r>
            <w:r w:rsidRPr="00175E82">
              <w:t xml:space="preserve"> Το ΤΔΜ</w:t>
            </w:r>
            <w:r w:rsidRPr="00175E82">
              <w:t xml:space="preserve"> θα πρέπει, επομένως, να καλύπτει όλα τα κράτη μέλη, ωστόσο η κατανομή των χρηματοδοτικών του μέσων θα πρέπει να αποτυπώνει την ικανότητα των κρατών μελών να χρηματοδοτήσουν τις απαραίτητες επενδύσεις, ώστε να αντεπεξέλθουν στη μετάβαση προς την κλιματική </w:t>
            </w:r>
            <w:r w:rsidRPr="00175E82">
              <w:t>ουδετερότητα.</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B60FE2" w:rsidRPr="00175E82">
        <w:rPr>
          <w:rStyle w:val="HideTWBInt"/>
        </w:rPr>
        <w:t>{EN}</w:t>
      </w:r>
      <w:r w:rsidR="00B60FE2"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Σκοπός του ΤΔΜ είναι να στηρίξει τη μετάβαση σε περιοχές των οποίων η οικονομική και κοινωνική ευημερία εξαρτάται από την εξορυκτική ή βαριά βιομηχανία. Ωστόσο, είναι σημαντι</w:t>
      </w:r>
      <w:r w:rsidRPr="00175E82">
        <w:t>κό να μην παραβλεφθούν οι νησιωτικές ή απομακρυσμένες περιφέρειες, οι οποίες συχνά δεν συνδέονται με τις γενικές ενεργειακές υποδομές και ενδέχεται να εξαρτώνται από αυτόνομες γεννήτριες ντίζελ ή πετρελαίου για την παραγωγή ηλεκτρικής ενέργειας.</w:t>
      </w:r>
    </w:p>
    <w:p w:rsidR="00B5144E" w:rsidRPr="00175E82" w:rsidRDefault="00271899" w:rsidP="00B5144E">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w:t>
      </w:r>
      <w:r w:rsidRPr="00175E82">
        <w:rPr>
          <w:rStyle w:val="HideTWBExt"/>
          <w:b w:val="0"/>
          <w:noProof w:val="0"/>
        </w:rPr>
        <w:t>Amend&gt;</w:t>
      </w:r>
      <w:r w:rsidRPr="00175E82">
        <w:t>Τροπολογία</w:t>
      </w:r>
      <w:r w:rsidRPr="00175E82">
        <w:tab/>
      </w:r>
      <w:r w:rsidRPr="00175E82">
        <w:tab/>
      </w:r>
      <w:r w:rsidRPr="00175E82">
        <w:rPr>
          <w:rStyle w:val="HideTWBExt"/>
          <w:b w:val="0"/>
          <w:noProof w:val="0"/>
        </w:rPr>
        <w:t>&lt;NumAm&gt;</w:t>
      </w:r>
      <w:r w:rsidRPr="00175E82">
        <w:t>3</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Αιτιολογική σκέψη 10</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FF2540">
            <w:pPr>
              <w:pStyle w:val="Normal6a"/>
            </w:pPr>
            <w:r w:rsidRPr="00175E82">
              <w:t>(10)</w:t>
            </w:r>
            <w:r w:rsidRPr="00175E82">
              <w:tab/>
            </w:r>
            <w:r w:rsidRPr="00175E82">
              <w:t>Ο παρών κανονισμός καθορίζει τα διάφορα είδη επενδύσεων των οποίων οι δαπάνες μπορούν να υποστηριχθούν από το ΤΔΜ. Όλες οι δραστηριότητες που λαμβάνουν στήριξη θα πρέπει να διεξάγονται με απόλυτο σεβασμό των κλιματικών και περιβαλλοντικών προτεραιοτήτων τη</w:t>
            </w:r>
            <w:r w:rsidRPr="00175E82">
              <w:t>ς Ένωσης. Ο κατάλογος επενδύσεων θα πρέπει να περιλαμβάνει επενδύσεις που στηρίζουν την τοπική οικονομία και είναι μακροπρόθεσμα βιώσιμες, λαμβανομένων υπόψη των στόχων της Πράσινης Συμφωνίας. Τα χρηματοδοτούμενα έργα θα πρέπει να συμβάλλουν στη μετάβαση π</w:t>
            </w:r>
            <w:r w:rsidRPr="00175E82">
              <w:t>ρος μια κλιματικά ουδέτερη και κυκλική οικονομία. Για παρακμάζοντες τομείς, όπως η παραγωγή ενέργειας που βασίζεται στον άνθρακα, στον λιγνίτη, στην τύρφη και στον πετρελαιούχο σχιστόλιθο ή οι δραστηριότητες εξόρυξης των στερεών αυτών ορυκτών καυσίμων, η σ</w:t>
            </w:r>
            <w:r w:rsidRPr="00175E82">
              <w:t>τήριξη θα πρέπει να συνδέεται με τη σταδιακή παύση της δραστηριότητας και την αντίστοιχη μείωση του επιπέδου της απασχόλησης. Όσον αφορά τους τομείς υπό μετασχηματισμό, με υψηλές εκπομπές αερίων του θερμοκηπίου, η στήριξη θα πρέπει να προωθεί νέες δραστηρι</w:t>
            </w:r>
            <w:r w:rsidRPr="00175E82">
              <w:t>ότητες μέσω της ανάπτυξης νέων τεχνολογιών, νέων διεργασιών ή προϊόντων, που θα οδηγούν σε σημαντική μείωση των εκπομπών, σύμφωνα με τους κλιματικούς στόχους της ΕΕ για το 2030 και με τον στόχο της κλιματικής ουδετερότητας της ΕΕ έως το 2050</w:t>
            </w:r>
            <w:r w:rsidRPr="00175E82">
              <w:rPr>
                <w:vertAlign w:val="superscript"/>
              </w:rPr>
              <w:t>13</w:t>
            </w:r>
            <w:r w:rsidRPr="00175E82">
              <w:t>, με ταυτόχρο</w:t>
            </w:r>
            <w:r w:rsidRPr="00175E82">
              <w:t>νη διατήρηση ή τόνωση της απασχόλησης και με αποφυγή της υποβάθμισης του περιβάλλοντος. Ιδιαίτερη προσοχή θα πρέπει να δοθεί επίσης στις δραστηριότητες που προάγουν την καινοτομία και την έρευνα σε προηγμένες και βιώσιμες τεχνολογίες, καθώς και στους τομεί</w:t>
            </w:r>
            <w:r w:rsidRPr="00175E82">
              <w:t>ς της ψηφιοποίησης και της συνδεσιμότητας, με τον όρο ότι τα μέτρα που λαμβάνονται θα βοηθούν να μετριαστούν οι αρνητικές συνέπειες μιας μετάβασης προς μια κλιματικά ουδέτερη και κυκλική οικονομία και θα συμβάλλουν στην πραγμάτωσή της.</w:t>
            </w:r>
          </w:p>
        </w:tc>
        <w:tc>
          <w:tcPr>
            <w:tcW w:w="4876" w:type="dxa"/>
          </w:tcPr>
          <w:p w:rsidR="00B5144E" w:rsidRPr="00175E82" w:rsidRDefault="00271899" w:rsidP="003331DB">
            <w:pPr>
              <w:pStyle w:val="Normal6a"/>
              <w:rPr>
                <w:szCs w:val="24"/>
              </w:rPr>
            </w:pPr>
            <w:r w:rsidRPr="00175E82">
              <w:t>(10)</w:t>
            </w:r>
            <w:r w:rsidRPr="00175E82">
              <w:tab/>
              <w:t>Ο παρών κανονισ</w:t>
            </w:r>
            <w:r w:rsidRPr="00175E82">
              <w:t>μός καθορίζει τα διάφορα είδη επενδύσεων των οποίων οι δαπάνες μπορούν να υποστηριχθούν από το ΤΔΜ. Όλες οι δραστηριότητες που λαμβάνουν στήριξη θα πρέπει να διεξάγονται με απόλυτο σεβασμό των κλιματικών και περιβαλλοντικών προτεραιοτήτων της Ένωσης. Ο κατ</w:t>
            </w:r>
            <w:r w:rsidRPr="00175E82">
              <w:t xml:space="preserve">άλογος επενδύσεων θα πρέπει να περιλαμβάνει επενδύσεις που στηρίζουν την τοπική οικονομία και είναι μακροπρόθεσμα βιώσιμες, λαμβανομένων υπόψη των στόχων της Πράσινης Συμφωνίας. Τα χρηματοδοτούμενα έργα θα πρέπει να συμβάλλουν στη </w:t>
            </w:r>
            <w:r w:rsidRPr="00175E82">
              <w:rPr>
                <w:b/>
                <w:i/>
              </w:rPr>
              <w:t>σταδιακή</w:t>
            </w:r>
            <w:r w:rsidRPr="00175E82">
              <w:t xml:space="preserve"> μετάβαση προς μι</w:t>
            </w:r>
            <w:r w:rsidRPr="00175E82">
              <w:t>α κλιματικά ουδέτερη και κυκλική οικονομία. Για παρακμάζοντες τομείς, όπως η παραγωγή ενέργειας που βασίζεται στον άνθρακα, στον λιγνίτη, στην τύρφη και στον πετρελαιούχο σχιστόλιθο ή οι δραστηριότητες εξόρυξης των στερεών αυτών ορυκτών καυσίμων, η στήριξη</w:t>
            </w:r>
            <w:r w:rsidRPr="00175E82">
              <w:t xml:space="preserve"> θα πρέπει να συνδέεται με τη σταδιακή παύση της δραστηριότητας και την αντίστοιχη μείωση του επιπέδου της απασχόλησης </w:t>
            </w:r>
            <w:r w:rsidRPr="00175E82">
              <w:rPr>
                <w:b/>
                <w:i/>
              </w:rPr>
              <w:t>με την πάροδο του χρόνου.</w:t>
            </w:r>
            <w:r w:rsidRPr="00175E82">
              <w:t xml:space="preserve"> Όσον αφορά τους τομείς υπό μετασχηματισμό, με υψηλές εκπομπές αερίων του θερμοκηπίου, η στήριξη θα πρέπει να πρ</w:t>
            </w:r>
            <w:r w:rsidRPr="00175E82">
              <w:t xml:space="preserve">οωθεί νέες δραστηριότητες μέσω της ανάπτυξης νέων τεχνολογιών, νέων διεργασιών ή προϊόντων, που θα οδηγούν σε σημαντική μείωση των εκπομπών, σύμφωνα με τους κλιματικούς στόχους της ΕΕ για το 2030 και με τον στόχο της κλιματικής ουδετερότητας της ΕΕ έως το </w:t>
            </w:r>
            <w:r w:rsidRPr="00175E82">
              <w:t>2050</w:t>
            </w:r>
            <w:r w:rsidR="00175E82" w:rsidRPr="00175E82">
              <w:rPr>
                <w:vertAlign w:val="superscript"/>
              </w:rPr>
              <w:t>13</w:t>
            </w:r>
            <w:r w:rsidRPr="00175E82">
              <w:t xml:space="preserve">, με ταυτόχρονη διατήρηση ή τόνωση της απασχόλησης </w:t>
            </w:r>
            <w:r w:rsidRPr="00175E82">
              <w:rPr>
                <w:b/>
                <w:i/>
              </w:rPr>
              <w:t>υψηλής ειδίκευσης</w:t>
            </w:r>
            <w:r w:rsidRPr="00175E82">
              <w:t xml:space="preserve"> και με αποφυγή της υποβάθμισης του περιβάλλοντος. Ιδιαίτερη προσοχή θα πρέπει να δοθεί επίσης στις δραστηριότητες που προάγουν την καινοτομία και την έρευνα σε προηγμένες και βιώσιμες τεχνολογίες, καθώς και στους τομείς της ψηφιοποίησης και της συνδεσιμότ</w:t>
            </w:r>
            <w:r w:rsidRPr="00175E82">
              <w:t xml:space="preserve">ητας, με τον όρο ότι τα μέτρα που λαμβάνονται θα βοηθούν να μετριαστούν οι αρνητικές συνέπειες μιας μετάβασης προς μια κλιματικά ουδέτερη και κυκλική οικονομία και θα συμβάλλουν στην πραγμάτωσή της. </w:t>
            </w:r>
            <w:r w:rsidRPr="00175E82">
              <w:rPr>
                <w:b/>
                <w:i/>
              </w:rPr>
              <w:t>Οι εν λόγω επενδύσεις θα πρέπει επίσης να επιτρέψουν τη χ</w:t>
            </w:r>
            <w:r w:rsidRPr="00175E82">
              <w:rPr>
                <w:b/>
                <w:i/>
              </w:rPr>
              <w:t>ρηματοδότηση των δαπανών για εμπειρογνωμοσύνη και ανάλυση, ώστε να συμβάλουν στην επίτευξη των στόχων για τον επιτυχή μετασχηματισμό υφιστάμενων εδραιωμένων επιχειρήσεων.</w:t>
            </w:r>
          </w:p>
        </w:tc>
      </w:tr>
      <w:tr w:rsidR="00FC0A79" w:rsidRPr="00175E82" w:rsidTr="000C6F90">
        <w:trPr>
          <w:trHeight w:val="435"/>
          <w:jc w:val="center"/>
        </w:trPr>
        <w:tc>
          <w:tcPr>
            <w:tcW w:w="4876" w:type="dxa"/>
          </w:tcPr>
          <w:p w:rsidR="00F15028" w:rsidRPr="00175E82" w:rsidRDefault="00271899" w:rsidP="000C6F90">
            <w:pPr>
              <w:pStyle w:val="Normal6a"/>
            </w:pPr>
            <w:r w:rsidRPr="00175E82">
              <w:t>____________________</w:t>
            </w:r>
          </w:p>
        </w:tc>
        <w:tc>
          <w:tcPr>
            <w:tcW w:w="4876" w:type="dxa"/>
          </w:tcPr>
          <w:p w:rsidR="00F15028" w:rsidRPr="00175E82" w:rsidRDefault="00271899" w:rsidP="000C6F90">
            <w:pPr>
              <w:pStyle w:val="Normal6a"/>
            </w:pPr>
            <w:r w:rsidRPr="00175E82">
              <w:t>__________________</w:t>
            </w:r>
          </w:p>
        </w:tc>
      </w:tr>
      <w:tr w:rsidR="00FC0A79" w:rsidRPr="00175E82" w:rsidTr="003331DB">
        <w:trPr>
          <w:jc w:val="center"/>
        </w:trPr>
        <w:tc>
          <w:tcPr>
            <w:tcW w:w="4876" w:type="dxa"/>
          </w:tcPr>
          <w:p w:rsidR="00F15028" w:rsidRPr="00175E82" w:rsidRDefault="00271899" w:rsidP="003331DB">
            <w:pPr>
              <w:pStyle w:val="Normal6a"/>
              <w:rPr>
                <w:vertAlign w:val="superscript"/>
              </w:rPr>
            </w:pPr>
            <w:r w:rsidRPr="00175E82">
              <w:rPr>
                <w:vertAlign w:val="superscript"/>
              </w:rPr>
              <w:t>13</w:t>
            </w:r>
            <w:r w:rsidRPr="00175E82">
              <w:t xml:space="preserve"> Όπως αναφέρεται στην ανακοίνωση της Επιτ</w:t>
            </w:r>
            <w:r w:rsidRPr="00175E82">
              <w:t>ροπής με τίτλο «Καθαρός πλανήτης για όλους - Ένα ευρωπαϊκό, στρατηγικό, μακρόπνοο όραμα για μια ευημερούσα, σύγχρονη, ανταγωνιστική και κλιματικά ουδέτερη οικονομία» – Ανακοίνωση προς το Ευρωπαϊκό Κοινοβούλιο, το Ευρωπαϊκό Συμβούλιο, το Συμβούλιο, την Ευρω</w:t>
            </w:r>
            <w:r w:rsidRPr="00175E82">
              <w:t>παϊκή Οικονομική και Κοινωνική Επιτροπή, την Επιτροπή των Περιφερειών και την Ευρωπαϊκή Τράπεζα Επενδύσεων [COM(2018) 773 final].</w:t>
            </w:r>
          </w:p>
        </w:tc>
        <w:tc>
          <w:tcPr>
            <w:tcW w:w="4876" w:type="dxa"/>
          </w:tcPr>
          <w:p w:rsidR="00F15028" w:rsidRPr="00175E82" w:rsidRDefault="00271899" w:rsidP="003331DB">
            <w:pPr>
              <w:pStyle w:val="Normal6a"/>
            </w:pPr>
            <w:r w:rsidRPr="00175E82">
              <w:rPr>
                <w:vertAlign w:val="superscript"/>
              </w:rPr>
              <w:t>13</w:t>
            </w:r>
            <w:r w:rsidRPr="00175E82">
              <w:t xml:space="preserve"> Όπως αναφέρεται στην ανακοίνωση της Επιτροπής με τίτλο «Καθαρός πλανήτης για όλους - Ένα ευρωπαϊκό, στρατηγικό, μακρόπνοο ό</w:t>
            </w:r>
            <w:r w:rsidRPr="00175E82">
              <w:t>ραμα για μια ευημερούσα, σύγχρονη, ανταγωνιστική και κλιματικά ουδέτερη οικονομία» – Ανακοίνωση προς το Ευρωπαϊκό Κοινοβούλιο, το Ευρωπαϊκό Συμβούλιο, το Συμβούλιο, την Ευρωπαϊκή Οικονομική και Κοινωνική Επιτροπή, την Επιτροπή των Περιφερειών και την Ευρωπ</w:t>
            </w:r>
            <w:r w:rsidRPr="00175E82">
              <w:t>αϊκή Τράπεζα Επενδύσεων [COM(2018) 773 final].</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FF2540" w:rsidRPr="00175E82">
        <w:rPr>
          <w:rStyle w:val="HideTWBInt"/>
        </w:rPr>
        <w:t>{EN}</w:t>
      </w:r>
      <w:r w:rsidR="00FF2540"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 xml:space="preserve">Η μετάβαση σε μια πράσινη οικονομία αποτελεί έναν από τους κύριους στόχους της Ευρώπης. Το ταμείο αυτό θα συμβάλει σημαντικά στην επίτευξη </w:t>
      </w:r>
      <w:r w:rsidRPr="00175E82">
        <w:t>του εν λόγω στόχου. Ωστόσο, είναι σημαντικό να τονιστεί ότι η μετάβαση αυτή πρέπει να γίνει σταδιακά, ώστε να ελαχιστοποιηθεί η διατάραξη της οικονομικής και κοινωνικής ισορροπίας. Ειδικότερα, πρέπει να δοθεί προσοχή στην επαναχρησιμοποίηση και τον μετασχη</w:t>
      </w:r>
      <w:r w:rsidRPr="00175E82">
        <w:t>ματισμό των δεξιοτήτων των εργαζομένων με κατάρτιση στους εν λόγω τομείς.</w:t>
      </w:r>
    </w:p>
    <w:p w:rsidR="00B5144E" w:rsidRPr="00175E82" w:rsidRDefault="00271899" w:rsidP="00B5144E">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4</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Αιτιολογική σκέψη 11</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(11)</w:t>
            </w:r>
            <w:r w:rsidRPr="00175E82">
              <w:tab/>
              <w:t xml:space="preserve">Για </w:t>
            </w:r>
            <w:r w:rsidRPr="00175E82">
              <w:t xml:space="preserve">να προστατεύονται οι πολίτες που είναι περισσότερο ευάλωτοι στην κλιματική μετάβαση, το ΤΔΜ θα πρέπει επίσης, αφενός, να καλύπτει την αναβάθμιση των δεξιοτήτων των πληττόμενων εργαζομένων και την απόκτηση νέων δεξιοτήτων απ’ αυτούς, με σκοπό να τους βοηθά </w:t>
            </w:r>
            <w:r w:rsidRPr="00175E82">
              <w:t>να προσαρμοστούν σε νέες δυνατότητες απασχόλησης, και, αφετέρου, να παρέχει συνδρομή για την αναζήτηση εργασίας σε όσους αναζητούν εργασία και να βοηθά στην ενεργό συμπερίληψή τους στην αγορά εργασίας.</w:t>
            </w:r>
          </w:p>
        </w:tc>
        <w:tc>
          <w:tcPr>
            <w:tcW w:w="4876" w:type="dxa"/>
          </w:tcPr>
          <w:p w:rsidR="00B5144E" w:rsidRPr="00175E82" w:rsidRDefault="00271899" w:rsidP="004309FA">
            <w:pPr>
              <w:pStyle w:val="Normal6a"/>
              <w:rPr>
                <w:szCs w:val="24"/>
              </w:rPr>
            </w:pPr>
            <w:r w:rsidRPr="00175E82">
              <w:t>(11)</w:t>
            </w:r>
            <w:r w:rsidRPr="00175E82">
              <w:tab/>
              <w:t>Για να προστατεύονται οι πολίτες που είναι περισσ</w:t>
            </w:r>
            <w:r w:rsidRPr="00175E82">
              <w:t>ότερο ευάλωτοι στην κλιματική μετάβαση, το ΤΔΜ θα πρέπει επίσης, αφενός, να καλύπτει την αναβάθμιση των δεξιοτήτων των πληττόμενων εργαζομένων και την απόκτηση νέων δεξιοτήτων απ’ αυτούς, με σκοπό να τους βοηθά να προσαρμοστούν σε νέες δυνατότητες απασχόλη</w:t>
            </w:r>
            <w:r w:rsidRPr="00175E82">
              <w:t xml:space="preserve">σης </w:t>
            </w:r>
            <w:r w:rsidRPr="00175E82">
              <w:rPr>
                <w:b/>
                <w:i/>
              </w:rPr>
              <w:t>και να αποκτήσουν νέα προσόντα κατάλληλα για την πράσινη οικονομία</w:t>
            </w:r>
            <w:r w:rsidRPr="00175E82">
              <w:t>, και, αφετέρου, να παρέχει συνδρομή για την αναζήτηση εργασίας σε όσους αναζητούν εργασία και να βοηθά στην ενεργό συμπερίληψή τους στην αγορά εργασίας.</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FF2540" w:rsidRPr="00175E82">
        <w:rPr>
          <w:rStyle w:val="HideTWBInt"/>
        </w:rPr>
        <w:t>{EN}</w:t>
      </w:r>
      <w:r w:rsidR="00FF2540"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Είναι ιδιαίτερα σημαντικό να εκπαιδευτούν οι πληττόμενοι εργαζόμενοι, ώστε να μπορούν να συνεχίσουν να δραστηριοποιούνται στην αγορά εργασίας του μέλλοντος.</w:t>
      </w:r>
    </w:p>
    <w:p w:rsidR="00B5144E" w:rsidRPr="00175E82" w:rsidRDefault="00271899" w:rsidP="00B5144E">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5</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 xml:space="preserve">Πρόταση </w:t>
      </w:r>
      <w:r w:rsidRPr="00175E82">
        <w:t>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Αιτιολογική σκέψη 12</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FF2540">
            <w:pPr>
              <w:pStyle w:val="Normal6a"/>
            </w:pPr>
            <w:r w:rsidRPr="00175E82">
              <w:t>(12)</w:t>
            </w:r>
            <w:r w:rsidRPr="00175E82">
              <w:tab/>
              <w:t xml:space="preserve">Για την τόνωση της οικονομικής διαφοροποίησης των εδαφών που πλήττονται από τη μετάβαση, το ΤΔΜ θα πρέπει να παρέχει στήριξη σε ΜΜΕ για την </w:t>
            </w:r>
            <w:r w:rsidRPr="00175E82">
              <w:t>πραγματοποίηση παραγωγικών επενδύσεων. Οι παραγωγικές επενδύσεις θα πρέπει να νοούνται ως επενδύσεις σε πάγια κεφάλαια ή άυλα περιουσιακά στοιχεία επιχειρήσεων με σκοπό την παραγωγή αγαθών και υπηρεσιών και στη συμβολή, με τον τρόπο αυτό, στον ακαθάριστο σ</w:t>
            </w:r>
            <w:r w:rsidRPr="00175E82">
              <w:t>χηματισμό κεφαλαίου και στην απασχόληση. Όταν οι επιχειρήσεις δεν είναι ΜΜΕ, οι παραγωγικές επενδύσεις θα πρέπει να υποστηρίζονται μόνο εφόσον είναι απαραίτητες για να μετριαστούν οι απώλειες θέσεων εργασίας εξαιτίας της μετάβασης, χάρη στη δημιουργία ή στ</w:t>
            </w:r>
            <w:r w:rsidRPr="00175E82">
              <w:t xml:space="preserve">ην προστασία σημαντικού αριθμού θέσεων εργασίας, και εφόσον δεν οδηγούν ούτε οφείλονται σε μετεγκατάσταση. Οι επενδύσεις σε υφιστάμενες βιομηχανικές εγκαταστάσεις, συμπεριλαμβανομένων εκείνων που καλύπτονται από το σύστημα εμπορίας εκπομπών της Ένωσης, θα </w:t>
            </w:r>
            <w:r w:rsidRPr="00175E82">
              <w:t>πρέπει να επιτρέπονται, εάν συμβάλλουν στη μετάβαση προς μια κλιματικά ουδέτερη οικονομία έως το 2050 και επιτυγχάνουν σημαντικά χαμηλότερες τιμές σε σχέση με τους δείκτες αναφοράς που καθορίστηκαν για τη δωρεάν κατανομή δικαιωμάτων εκπομπής βάσει της οδηγ</w:t>
            </w:r>
            <w:r w:rsidRPr="00175E82">
              <w:t>ίας 2003/87/ΕΚ του Ευρωπαϊκού Κοινοβουλίου και του Συμβουλίου</w:t>
            </w:r>
            <w:r w:rsidRPr="00175E82">
              <w:rPr>
                <w:vertAlign w:val="superscript"/>
              </w:rPr>
              <w:t>14</w:t>
            </w:r>
            <w:r w:rsidRPr="00175E82">
              <w:t xml:space="preserve"> και εάν έχουν ως αποτέλεσμα την προστασία σημαντικού αριθμού θέσεων εργασίας. Κάθε τέτοια επένδυση θα πρέπει να αιτιολογείται δεόντως στο σχετικό εδαφικό σχέδιο δίκαιης μετάβασης. Για να προστ</w:t>
            </w:r>
            <w:r w:rsidRPr="00175E82">
              <w:t>ατεύεται η ακεραιότητα της εσωτερικής αγοράς και η πολιτική για τη συνοχή, η στήριξη που παρέχεται σε επιχειρήσεις θα πρέπει να συνάδει με τους κανόνες της Ένωσης για τις κρατικές ενισχύσεις, όπως ορίζονται στα άρθρα 107 και 108 της ΣΛΕΕ</w:t>
            </w:r>
            <w:r w:rsidRPr="00175E82">
              <w:rPr>
                <w:b/>
                <w:i/>
              </w:rPr>
              <w:t xml:space="preserve">, ειδικότερα δε, η </w:t>
            </w:r>
            <w:r w:rsidRPr="00175E82">
              <w:rPr>
                <w:b/>
                <w:i/>
              </w:rPr>
              <w:t>στήριξη για παραγωγικές επενδύσεις επιχειρήσεων που δεν είναι ΜΜΕ θα πρέπει να περιορίζεται σε επιχειρήσεις που βρίσκονται σε περιοχές χαρακτηρισμένες ως ενισχυόμενες για τους σκοπούς του άρθρου 107 παράγραφος 3 στοιχεία α) και γ) της ΣΛΕΕ</w:t>
            </w:r>
            <w:r w:rsidRPr="00175E82">
              <w:t>.</w:t>
            </w:r>
          </w:p>
        </w:tc>
        <w:tc>
          <w:tcPr>
            <w:tcW w:w="4876" w:type="dxa"/>
          </w:tcPr>
          <w:p w:rsidR="00B5144E" w:rsidRPr="00175E82" w:rsidRDefault="00271899" w:rsidP="003331DB">
            <w:pPr>
              <w:pStyle w:val="Normal6a"/>
              <w:rPr>
                <w:szCs w:val="24"/>
              </w:rPr>
            </w:pPr>
            <w:r w:rsidRPr="00175E82">
              <w:t>(12)</w:t>
            </w:r>
            <w:r w:rsidRPr="00175E82">
              <w:tab/>
              <w:t>Για την τό</w:t>
            </w:r>
            <w:r w:rsidRPr="00175E82">
              <w:t xml:space="preserve">νωση της οικονομικής διαφοροποίησης των εδαφών που πλήττονται από τη μετάβαση, το ΤΔΜ θα πρέπει να παρέχει στήριξη σε ΜΜΕ για την πραγματοποίηση παραγωγικών επενδύσεων. Οι παραγωγικές επενδύσεις θα πρέπει να νοούνται ως επενδύσεις σε πάγια κεφάλαια ή άυλα </w:t>
            </w:r>
            <w:r w:rsidRPr="00175E82">
              <w:t>περιουσιακά στοιχεία επιχειρήσεων με σκοπό την παραγωγή αγαθών και υπηρεσιών και στη συμβολή, με τον τρόπο αυτό, στον ακαθάριστο σχηματισμό κεφαλαίου και στην απασχόληση. Όταν οι επιχειρήσεις δεν είναι ΜΜΕ, οι παραγωγικές επενδύσεις θα πρέπει να υποστηρίζο</w:t>
            </w:r>
            <w:r w:rsidRPr="00175E82">
              <w:t>νται μόνο εφόσον είναι απαραίτητες για να μετριαστούν οι απώλειες θέσεων εργασίας εξαιτίας της μετάβασης, χάρη στη δημιουργία ή στην προστασία σημαντικού αριθμού θέσεων εργασίας, και εφόσον δεν οδηγούν ούτε οφείλονται σε μετεγκατάσταση. Οι επενδύσεις σε υφ</w:t>
            </w:r>
            <w:r w:rsidRPr="00175E82">
              <w:t>ιστάμενες βιομηχανικές εγκαταστάσεις, συμπεριλαμβανομένων εκείνων που καλύπτονται από το σύστημα εμπορίας εκπομπών της Ένωσης, θα πρέπει να επιτρέπονται, εάν συμβάλλουν στη μετάβαση προς μια κλιματικά ουδέτερη οικονομία έως το 2050 και επιτυγχάνουν σημαντι</w:t>
            </w:r>
            <w:r w:rsidRPr="00175E82">
              <w:t>κά χαμηλότερες τιμές σε σχέση με τους δείκτες αναφοράς που καθορίστηκαν για τη δωρεάν κατανομή δικαιωμάτων εκπομπής βάσει της οδηγίας 2003/87/ΕΚ του Ευρωπαϊκού Κοινοβουλίου και του Συμβουλίου</w:t>
            </w:r>
            <w:r w:rsidRPr="00175E82">
              <w:rPr>
                <w:vertAlign w:val="superscript"/>
              </w:rPr>
              <w:t>14</w:t>
            </w:r>
            <w:r w:rsidRPr="00175E82">
              <w:t xml:space="preserve"> και εάν έχουν ως αποτέλεσμα την προστασία σημαντικού αριθμού θ</w:t>
            </w:r>
            <w:r w:rsidRPr="00175E82">
              <w:t>έσεων εργασίας. Κάθε τέτοια επένδυση θα πρέπει να αιτιολογείται δεόντως στο σχετικό εδαφικό σχέδιο δίκαιης μετάβασης. Για να προστατεύεται η ακεραιότητα της εσωτερικής αγοράς και η πολιτική για τη συνοχή, η στήριξη που παρέχεται σε επιχειρήσεις θα πρέπει ν</w:t>
            </w:r>
            <w:r w:rsidRPr="00175E82">
              <w:t xml:space="preserve">α συνάδει με τους κανόνες της Ένωσης για τις κρατικές ενισχύσεις, όπως ορίζονται στα άρθρα 107 και 108 της ΣΛΕΕ, </w:t>
            </w:r>
            <w:r w:rsidRPr="00175E82">
              <w:rPr>
                <w:b/>
                <w:i/>
              </w:rPr>
              <w:t>λαμβάνοντας ιδιαιτέρως υπόψη τις συνακόλουθες διαρθρωτικές αλλαγές και τα μέτρα που απαιτούνται για τις εν λόγω αλλαγές</w:t>
            </w:r>
            <w:r w:rsidRPr="00175E82">
              <w:t xml:space="preserve">. </w:t>
            </w:r>
            <w:r w:rsidRPr="00175E82">
              <w:rPr>
                <w:b/>
                <w:i/>
              </w:rPr>
              <w:t xml:space="preserve">Η εν λόγω εξαίρεση θα </w:t>
            </w:r>
            <w:r w:rsidRPr="00175E82">
              <w:rPr>
                <w:b/>
                <w:i/>
              </w:rPr>
              <w:t>πρέπει να επιτρέψει την προώθηση της οικονομικής ανάπτυξης περιοχών στις οποίες το βιοτικό επίπεδο είναι υπερβολικά χαμηλό ή στις οποίες επικρατεί σοβαρή υποαπασχόληση, καθώς και των εξόχως απόκεντρων περιοχών, λαμβανομένης υπόψη της διαρθρωτικής, κοινωνικ</w:t>
            </w:r>
            <w:r w:rsidRPr="00175E82">
              <w:rPr>
                <w:b/>
                <w:i/>
              </w:rPr>
              <w:t>ής και οικονομικής τους κατάστασης.</w:t>
            </w:r>
          </w:p>
        </w:tc>
      </w:tr>
      <w:tr w:rsidR="00FC0A79" w:rsidRPr="00175E82" w:rsidTr="003331DB">
        <w:trPr>
          <w:jc w:val="center"/>
        </w:trPr>
        <w:tc>
          <w:tcPr>
            <w:tcW w:w="4876" w:type="dxa"/>
          </w:tcPr>
          <w:p w:rsidR="00F15028" w:rsidRPr="00175E82" w:rsidRDefault="00271899" w:rsidP="003331DB">
            <w:pPr>
              <w:pStyle w:val="Normal6a"/>
            </w:pPr>
            <w:r w:rsidRPr="00175E82">
              <w:t>_______________</w:t>
            </w:r>
          </w:p>
        </w:tc>
        <w:tc>
          <w:tcPr>
            <w:tcW w:w="4876" w:type="dxa"/>
          </w:tcPr>
          <w:p w:rsidR="00F15028" w:rsidRPr="00175E82" w:rsidRDefault="00271899" w:rsidP="003331DB">
            <w:pPr>
              <w:pStyle w:val="Normal6a"/>
            </w:pPr>
            <w:r w:rsidRPr="00175E82">
              <w:t>________________</w:t>
            </w:r>
          </w:p>
        </w:tc>
      </w:tr>
      <w:tr w:rsidR="00FC0A79" w:rsidRPr="00175E82" w:rsidTr="003331DB">
        <w:trPr>
          <w:jc w:val="center"/>
        </w:trPr>
        <w:tc>
          <w:tcPr>
            <w:tcW w:w="4876" w:type="dxa"/>
          </w:tcPr>
          <w:p w:rsidR="00F15028" w:rsidRPr="00175E82" w:rsidRDefault="00271899" w:rsidP="003331DB">
            <w:pPr>
              <w:pStyle w:val="Normal6a"/>
            </w:pPr>
            <w:r w:rsidRPr="00175E82">
              <w:rPr>
                <w:vertAlign w:val="superscript"/>
              </w:rPr>
              <w:t>14</w:t>
            </w:r>
            <w:r w:rsidRPr="00175E82">
              <w:t xml:space="preserve"> Οδηγία 2003/87/ΕΚ του Ευρωπαϊκού Κοινοβουλίου και του Συμβουλίου, της 13ης Οκτωβρίου 2003, σχετικά με τη θέσπιση συστήματος εμπορίας δικαιωμάτων εκπομπής αερίων θερμοκηπίου εντός της</w:t>
            </w:r>
            <w:r w:rsidRPr="00175E82">
              <w:t xml:space="preserve"> Κοινότητας και την τροποποίηση της οδηγίας 96/61/ΕΚ του Συμβουλίου (ΕΕ L 275 της 25.10.2003, σ. 32).</w:t>
            </w:r>
          </w:p>
        </w:tc>
        <w:tc>
          <w:tcPr>
            <w:tcW w:w="4876" w:type="dxa"/>
          </w:tcPr>
          <w:p w:rsidR="00F15028" w:rsidRPr="00175E82" w:rsidRDefault="00271899" w:rsidP="003331DB">
            <w:pPr>
              <w:pStyle w:val="Normal6a"/>
            </w:pPr>
            <w:r w:rsidRPr="00175E82">
              <w:rPr>
                <w:vertAlign w:val="superscript"/>
              </w:rPr>
              <w:t>14</w:t>
            </w:r>
            <w:r w:rsidRPr="00175E82">
              <w:t xml:space="preserve"> Οδηγία 2003/87/ΕΚ του Ευρωπαϊκού Κοινοβουλίου και του Συμβουλίου, της 13ης Οκτωβρίου 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(ΕΕ L</w:t>
            </w:r>
            <w:r w:rsidRPr="00175E82">
              <w:t xml:space="preserve"> 275 της 25.10.2003, σ. 32).</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FF2540" w:rsidRPr="00175E82">
        <w:rPr>
          <w:rStyle w:val="HideTWBInt"/>
        </w:rPr>
        <w:t>{EN}</w:t>
      </w:r>
      <w:r w:rsidR="00FF2540"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 xml:space="preserve">Σε ορισμένες περιοχές της Ευρωπαϊκής Ένωσης, οι κανόνες για τις κρατικές ενισχύσεις επιτρέπουν την καταβολή στήριξης σε επιχειρήσεις που δεν είναι ΜΜΕ. Σε </w:t>
      </w:r>
      <w:r w:rsidRPr="00175E82">
        <w:t>αυτές περιλαμβάνονται κυρίως φτωχές περιοχές, περιοχές με υψηλά ποσοστά ανεργίας και εξόχως απόκεντρες περιοχές.</w:t>
      </w:r>
    </w:p>
    <w:p w:rsidR="00B5144E" w:rsidRPr="00175E82" w:rsidRDefault="00271899" w:rsidP="00B5144E">
      <w:r w:rsidRPr="00175E82">
        <w:rPr>
          <w:rStyle w:val="HideTWBExt"/>
          <w:noProof w:val="0"/>
        </w:rPr>
        <w:t>&lt;/Amend&gt;</w:t>
      </w:r>
    </w:p>
    <w:p w:rsidR="00D83E57" w:rsidRPr="00175E82" w:rsidRDefault="00271899" w:rsidP="00D83E57">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6</w:t>
      </w:r>
      <w:r w:rsidRPr="00175E82">
        <w:rPr>
          <w:rStyle w:val="HideTWBExt"/>
          <w:b w:val="0"/>
          <w:noProof w:val="0"/>
        </w:rPr>
        <w:t>&lt;/NumAm&gt;</w:t>
      </w:r>
    </w:p>
    <w:p w:rsidR="00D83E57" w:rsidRPr="00175E82" w:rsidRDefault="00271899" w:rsidP="00D83E57">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D83E57">
      <w:pPr>
        <w:pStyle w:val="NormalBold"/>
        <w:keepNext/>
      </w:pPr>
      <w:r w:rsidRPr="00175E82">
        <w:rPr>
          <w:rStyle w:val="HideTWBExt"/>
          <w:b w:val="0"/>
          <w:noProof w:val="0"/>
        </w:rPr>
        <w:t>&lt;Article&gt;</w:t>
      </w:r>
      <w:r w:rsidRPr="00175E82">
        <w:t>Αιτιολογική σκέψη 12 α (νέα)</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D83E57" w:rsidRPr="00175E82" w:rsidRDefault="00D83E57" w:rsidP="00DA6ED0">
            <w:pPr>
              <w:keepNext/>
            </w:pPr>
          </w:p>
        </w:tc>
      </w:tr>
      <w:tr w:rsidR="00FC0A79" w:rsidRPr="00175E82" w:rsidTr="002669B6">
        <w:trPr>
          <w:jc w:val="center"/>
        </w:trPr>
        <w:tc>
          <w:tcPr>
            <w:tcW w:w="4876" w:type="dxa"/>
          </w:tcPr>
          <w:p w:rsidR="00D83E57" w:rsidRPr="00175E82" w:rsidRDefault="00271899" w:rsidP="00DA6ED0">
            <w:pPr>
              <w:pStyle w:val="AmColumnHeading"/>
              <w:keepNext/>
            </w:pPr>
            <w:r w:rsidRPr="00175E82">
              <w:t xml:space="preserve">Κείμενο </w:t>
            </w:r>
            <w:r w:rsidRPr="00175E82">
              <w:t>που προτείνει η Επιτροπή</w:t>
            </w:r>
          </w:p>
        </w:tc>
        <w:tc>
          <w:tcPr>
            <w:tcW w:w="4876" w:type="dxa"/>
          </w:tcPr>
          <w:p w:rsidR="00D83E57"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D83E57" w:rsidRPr="00175E82" w:rsidRDefault="00D83E57" w:rsidP="002669B6">
            <w:pPr>
              <w:pStyle w:val="Normal6a"/>
            </w:pPr>
          </w:p>
        </w:tc>
        <w:tc>
          <w:tcPr>
            <w:tcW w:w="4876" w:type="dxa"/>
          </w:tcPr>
          <w:p w:rsidR="00D83E57" w:rsidRPr="00175E82" w:rsidRDefault="00271899" w:rsidP="004D24EC">
            <w:pPr>
              <w:pStyle w:val="Normal6a"/>
              <w:rPr>
                <w:b/>
                <w:i/>
                <w:szCs w:val="24"/>
              </w:rPr>
            </w:pPr>
            <w:r w:rsidRPr="00175E82">
              <w:rPr>
                <w:b/>
                <w:i/>
              </w:rPr>
              <w:t>(12α)</w:t>
            </w:r>
            <w:r w:rsidRPr="00175E82">
              <w:rPr>
                <w:b/>
                <w:i/>
              </w:rPr>
              <w:tab/>
              <w:t>Οι κανόνες της Ένωσης για τις κρατικές ενισχύσεις θα πρέπει να εφαρμόζονται με ευελιξία σε επιλέξιμες περιφέρειες που βρίσκονται σε μετάβαση, ώστε να διευκολύνονται οι ιδιωτικές επενδύσεις. Στο πλαίσιο αυτό, θα π</w:t>
            </w:r>
            <w:r w:rsidRPr="00175E82">
              <w:rPr>
                <w:b/>
                <w:i/>
              </w:rPr>
              <w:t>ρέπει να λαμβάνονται υπόψη τα προβλήματα που συνδέονται με διαρθρωτικές αλλαγές σε επιλέξιμες περιφέρειες, προκειμένου να εξασφαλίζεται ότι οι εν λόγω περιφέρειες διαθέτουν επαρκή ευελιξία για να υλοποιήσουν τα έργα τους με κοινωνικά και οικονομικά βιώσιμο</w:t>
            </w:r>
            <w:r w:rsidRPr="00175E82">
              <w:rPr>
                <w:b/>
                <w:i/>
              </w:rPr>
              <w:t xml:space="preserve"> τρόπο.</w:t>
            </w:r>
          </w:p>
        </w:tc>
      </w:tr>
    </w:tbl>
    <w:p w:rsidR="00D83E57" w:rsidRPr="00175E82" w:rsidRDefault="00271899" w:rsidP="00D83E57">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D83E57">
      <w:r w:rsidRPr="00175E82">
        <w:rPr>
          <w:rStyle w:val="HideTWBExt"/>
          <w:noProof w:val="0"/>
        </w:rPr>
        <w:t>&lt;/Amend&gt;</w:t>
      </w:r>
    </w:p>
    <w:p w:rsidR="00D83E57" w:rsidRPr="00175E82" w:rsidRDefault="00271899" w:rsidP="00D83E57">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7</w:t>
      </w:r>
      <w:r w:rsidRPr="00175E82">
        <w:rPr>
          <w:rStyle w:val="HideTWBExt"/>
          <w:b w:val="0"/>
          <w:noProof w:val="0"/>
        </w:rPr>
        <w:t>&lt;/NumAm&gt;</w:t>
      </w:r>
    </w:p>
    <w:p w:rsidR="00D83E57" w:rsidRPr="00175E82" w:rsidRDefault="00271899" w:rsidP="00D83E57">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D83E57">
      <w:pPr>
        <w:pStyle w:val="NormalBold"/>
        <w:keepNext/>
      </w:pPr>
      <w:r w:rsidRPr="00175E82">
        <w:rPr>
          <w:rStyle w:val="HideTWBExt"/>
          <w:b w:val="0"/>
          <w:noProof w:val="0"/>
        </w:rPr>
        <w:t>&lt;Article&gt;</w:t>
      </w:r>
      <w:r w:rsidRPr="00175E82">
        <w:t>Αιτιολογική σκέψη 12 β (νέα)</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942688">
        <w:trPr>
          <w:jc w:val="center"/>
        </w:trPr>
        <w:tc>
          <w:tcPr>
            <w:tcW w:w="9752" w:type="dxa"/>
            <w:gridSpan w:val="2"/>
          </w:tcPr>
          <w:p w:rsidR="00D83E57" w:rsidRPr="00175E82" w:rsidRDefault="00D83E57" w:rsidP="00942688">
            <w:pPr>
              <w:keepNext/>
            </w:pPr>
          </w:p>
        </w:tc>
      </w:tr>
      <w:tr w:rsidR="00FC0A79" w:rsidRPr="00175E82" w:rsidTr="00942688">
        <w:trPr>
          <w:jc w:val="center"/>
        </w:trPr>
        <w:tc>
          <w:tcPr>
            <w:tcW w:w="4876" w:type="dxa"/>
          </w:tcPr>
          <w:p w:rsidR="00D83E57" w:rsidRPr="00175E82" w:rsidRDefault="00271899" w:rsidP="00942688">
            <w:pPr>
              <w:pStyle w:val="AmColumnHeading"/>
              <w:keepNext/>
            </w:pPr>
            <w:r w:rsidRPr="00175E82">
              <w:t>Κείμενο που προτείνει η Επιτροπή</w:t>
            </w:r>
          </w:p>
        </w:tc>
        <w:tc>
          <w:tcPr>
            <w:tcW w:w="4876" w:type="dxa"/>
          </w:tcPr>
          <w:p w:rsidR="00D83E57" w:rsidRPr="00175E82" w:rsidRDefault="00271899" w:rsidP="00942688">
            <w:pPr>
              <w:pStyle w:val="AmColumnHeading"/>
              <w:keepNext/>
            </w:pPr>
            <w:r w:rsidRPr="00175E82">
              <w:t>Τροπολογία</w:t>
            </w:r>
          </w:p>
        </w:tc>
      </w:tr>
      <w:tr w:rsidR="00FC0A79" w:rsidRPr="00175E82" w:rsidTr="00942688">
        <w:trPr>
          <w:jc w:val="center"/>
        </w:trPr>
        <w:tc>
          <w:tcPr>
            <w:tcW w:w="4876" w:type="dxa"/>
          </w:tcPr>
          <w:p w:rsidR="00D83E57" w:rsidRPr="00175E82" w:rsidRDefault="00D83E57" w:rsidP="00942688">
            <w:pPr>
              <w:pStyle w:val="Normal6a"/>
            </w:pPr>
          </w:p>
        </w:tc>
        <w:tc>
          <w:tcPr>
            <w:tcW w:w="4876" w:type="dxa"/>
          </w:tcPr>
          <w:p w:rsidR="00D83E57" w:rsidRPr="00175E82" w:rsidRDefault="00271899" w:rsidP="003331DB">
            <w:pPr>
              <w:pStyle w:val="Normal6a"/>
              <w:rPr>
                <w:b/>
                <w:i/>
                <w:szCs w:val="24"/>
              </w:rPr>
            </w:pPr>
            <w:r w:rsidRPr="00175E82">
              <w:rPr>
                <w:b/>
                <w:i/>
              </w:rPr>
              <w:t xml:space="preserve">(12β) </w:t>
            </w:r>
            <w:r w:rsidRPr="00175E82">
              <w:rPr>
                <w:b/>
                <w:i/>
              </w:rPr>
              <w:tab/>
              <w:t xml:space="preserve">Η στήριξη που παρέχεται </w:t>
            </w:r>
            <w:r w:rsidRPr="00175E82">
              <w:rPr>
                <w:b/>
                <w:i/>
              </w:rPr>
              <w:t xml:space="preserve">μέσω του ΤΔΜ σε επιχειρήσεις άλλες από ΜΜΕ για την πραγματοποίηση παραγωγικών επενδύσεων δεν θα πρέπει να περιορίζεται στις περιοχές που είναι επιλέξιμες για κρατική ενίσχυση σύμφωνα με τους ισχύοντες κανόνες για τις κρατικές ενισχύσεις δυνάμει του άρθρου </w:t>
            </w:r>
            <w:r w:rsidRPr="00175E82">
              <w:rPr>
                <w:b/>
                <w:i/>
              </w:rPr>
              <w:t>107 παράγραφος 3 στοιχεία α) και γ) της ΣΛΕΕ. Όλες οι περιφέρειες θα πρέπει να έχουν τη δυνατότητα να λάβουν στήριξη μέσω του ΤΔΜ, προκειμένου να αντιμετωπίσουν αποτελεσματικά την απειλή της απώλειας θέσεων απασχόλησης σε πρώιμο στάδιο.</w:t>
            </w:r>
          </w:p>
        </w:tc>
      </w:tr>
    </w:tbl>
    <w:p w:rsidR="00D83E57" w:rsidRPr="00175E82" w:rsidRDefault="00271899" w:rsidP="00D83E57">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D83E57">
      <w:r w:rsidRPr="00175E82">
        <w:rPr>
          <w:rStyle w:val="HideTWBExt"/>
          <w:noProof w:val="0"/>
        </w:rPr>
        <w:t>&lt;/Amend&gt;</w:t>
      </w:r>
    </w:p>
    <w:p w:rsidR="00D83E57" w:rsidRPr="00175E82" w:rsidRDefault="00271899" w:rsidP="00D83E57">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8</w:t>
      </w:r>
      <w:r w:rsidRPr="00175E82">
        <w:rPr>
          <w:rStyle w:val="HideTWBExt"/>
          <w:b w:val="0"/>
          <w:noProof w:val="0"/>
        </w:rPr>
        <w:t>&lt;/NumAm&gt;</w:t>
      </w:r>
    </w:p>
    <w:p w:rsidR="00D83E57" w:rsidRPr="00175E82" w:rsidRDefault="00271899" w:rsidP="00D83E57">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D83E57">
      <w:pPr>
        <w:pStyle w:val="NormalBold"/>
        <w:keepNext/>
      </w:pPr>
      <w:r w:rsidRPr="00175E82">
        <w:rPr>
          <w:rStyle w:val="HideTWBExt"/>
          <w:b w:val="0"/>
          <w:noProof w:val="0"/>
        </w:rPr>
        <w:t>&lt;Article&gt;</w:t>
      </w:r>
      <w:r w:rsidRPr="00175E82">
        <w:t>Αιτιολογική σκέψη 12 γ (νέα)</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942688">
        <w:trPr>
          <w:jc w:val="center"/>
        </w:trPr>
        <w:tc>
          <w:tcPr>
            <w:tcW w:w="9752" w:type="dxa"/>
            <w:gridSpan w:val="2"/>
          </w:tcPr>
          <w:p w:rsidR="00D83E57" w:rsidRPr="00175E82" w:rsidRDefault="00D83E57" w:rsidP="00942688">
            <w:pPr>
              <w:keepNext/>
            </w:pPr>
          </w:p>
        </w:tc>
      </w:tr>
      <w:tr w:rsidR="00FC0A79" w:rsidRPr="00175E82" w:rsidTr="00942688">
        <w:trPr>
          <w:jc w:val="center"/>
        </w:trPr>
        <w:tc>
          <w:tcPr>
            <w:tcW w:w="4876" w:type="dxa"/>
          </w:tcPr>
          <w:p w:rsidR="00D83E57" w:rsidRPr="00175E82" w:rsidRDefault="00271899" w:rsidP="00942688">
            <w:pPr>
              <w:pStyle w:val="AmColumnHeading"/>
              <w:keepNext/>
            </w:pPr>
            <w:r w:rsidRPr="00175E82">
              <w:t>Κείμενο που προτείνει η Επιτροπή</w:t>
            </w:r>
          </w:p>
        </w:tc>
        <w:tc>
          <w:tcPr>
            <w:tcW w:w="4876" w:type="dxa"/>
          </w:tcPr>
          <w:p w:rsidR="00D83E57" w:rsidRPr="00175E82" w:rsidRDefault="00271899" w:rsidP="00942688">
            <w:pPr>
              <w:pStyle w:val="AmColumnHeading"/>
              <w:keepNext/>
            </w:pPr>
            <w:r w:rsidRPr="00175E82">
              <w:t>Τροπολογία</w:t>
            </w:r>
          </w:p>
        </w:tc>
      </w:tr>
      <w:tr w:rsidR="00FC0A79" w:rsidRPr="00175E82" w:rsidTr="00942688">
        <w:trPr>
          <w:jc w:val="center"/>
        </w:trPr>
        <w:tc>
          <w:tcPr>
            <w:tcW w:w="4876" w:type="dxa"/>
          </w:tcPr>
          <w:p w:rsidR="00D83E57" w:rsidRPr="00175E82" w:rsidRDefault="00D83E57" w:rsidP="00942688">
            <w:pPr>
              <w:pStyle w:val="Normal6a"/>
            </w:pPr>
          </w:p>
        </w:tc>
        <w:tc>
          <w:tcPr>
            <w:tcW w:w="4876" w:type="dxa"/>
          </w:tcPr>
          <w:p w:rsidR="00D83E57" w:rsidRPr="00175E82" w:rsidRDefault="00271899" w:rsidP="00566BF0">
            <w:pPr>
              <w:pStyle w:val="Normal6a"/>
              <w:rPr>
                <w:b/>
                <w:i/>
                <w:szCs w:val="24"/>
              </w:rPr>
            </w:pPr>
            <w:r w:rsidRPr="00175E82">
              <w:rPr>
                <w:b/>
                <w:i/>
              </w:rPr>
              <w:t xml:space="preserve">(12γ) </w:t>
            </w:r>
            <w:r w:rsidRPr="00175E82">
              <w:rPr>
                <w:b/>
                <w:i/>
              </w:rPr>
              <w:tab/>
              <w:t xml:space="preserve">Στις περιοχές που επηρεάζονται περισσότερο από τη </w:t>
            </w:r>
            <w:r w:rsidRPr="00175E82">
              <w:rPr>
                <w:b/>
                <w:i/>
              </w:rPr>
              <w:t>μετάβαση σε μια κλιματικά ουδέτερη οικονομία θα πρέπει να παρέχεται η δυνατότητα να αντιμετωπίζουν ενεργά τις σχετικές διαρθρωτικές αλλαγές το συντομότερο δυνατόν. Κατά συνέπεια, οι ισχύοντες κανόνες της Ένωσης για τις κρατικές ενισχύσεις θα πρέπει να διασ</w:t>
            </w:r>
            <w:r w:rsidRPr="00175E82">
              <w:rPr>
                <w:b/>
                <w:i/>
              </w:rPr>
              <w:t>φαλίζουν ότι η απαιτούμενη ενίσχυση επιτρέπεται να χορηγείται, ανεξάρτητα από το καθεστώς των ενισχυόμενων περιφερειών.</w:t>
            </w:r>
          </w:p>
        </w:tc>
      </w:tr>
    </w:tbl>
    <w:p w:rsidR="00D83E57" w:rsidRPr="00175E82" w:rsidRDefault="00271899" w:rsidP="00D83E57">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D83E57">
      <w:r w:rsidRPr="00175E82">
        <w:rPr>
          <w:rStyle w:val="HideTWBExt"/>
          <w:noProof w:val="0"/>
        </w:rPr>
        <w:t>&lt;/Amend&gt;</w:t>
      </w:r>
    </w:p>
    <w:p w:rsidR="00D83E57" w:rsidRPr="00175E82" w:rsidRDefault="00271899" w:rsidP="00D83E57">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9</w:t>
      </w:r>
      <w:r w:rsidRPr="00175E82">
        <w:rPr>
          <w:rStyle w:val="HideTWBExt"/>
          <w:b w:val="0"/>
          <w:noProof w:val="0"/>
        </w:rPr>
        <w:t>&lt;/NumAm&gt;</w:t>
      </w:r>
    </w:p>
    <w:p w:rsidR="00D83E57" w:rsidRPr="00175E82" w:rsidRDefault="00271899" w:rsidP="00D83E57">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D83E57">
      <w:pPr>
        <w:pStyle w:val="NormalBold"/>
        <w:keepNext/>
      </w:pPr>
      <w:r w:rsidRPr="00175E82">
        <w:rPr>
          <w:rStyle w:val="HideTWBExt"/>
          <w:b w:val="0"/>
          <w:noProof w:val="0"/>
        </w:rPr>
        <w:t>&lt;Article&gt;</w:t>
      </w:r>
      <w:r w:rsidRPr="00175E82">
        <w:t>Αιτιολογική σκέψη 14</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942688">
        <w:trPr>
          <w:jc w:val="center"/>
        </w:trPr>
        <w:tc>
          <w:tcPr>
            <w:tcW w:w="9752" w:type="dxa"/>
            <w:gridSpan w:val="2"/>
          </w:tcPr>
          <w:p w:rsidR="00D83E57" w:rsidRPr="00175E82" w:rsidRDefault="00D83E57" w:rsidP="00942688">
            <w:pPr>
              <w:keepNext/>
            </w:pPr>
          </w:p>
        </w:tc>
      </w:tr>
      <w:tr w:rsidR="00FC0A79" w:rsidRPr="00175E82" w:rsidTr="00942688">
        <w:trPr>
          <w:jc w:val="center"/>
        </w:trPr>
        <w:tc>
          <w:tcPr>
            <w:tcW w:w="4876" w:type="dxa"/>
          </w:tcPr>
          <w:p w:rsidR="00D83E57" w:rsidRPr="00175E82" w:rsidRDefault="00271899" w:rsidP="00942688">
            <w:pPr>
              <w:pStyle w:val="AmColumnHeading"/>
              <w:keepNext/>
            </w:pPr>
            <w:r w:rsidRPr="00175E82">
              <w:t>Κείμενο που προτείνει η Επιτροπή</w:t>
            </w:r>
          </w:p>
        </w:tc>
        <w:tc>
          <w:tcPr>
            <w:tcW w:w="4876" w:type="dxa"/>
          </w:tcPr>
          <w:p w:rsidR="00D83E57" w:rsidRPr="00175E82" w:rsidRDefault="00271899" w:rsidP="00942688">
            <w:pPr>
              <w:pStyle w:val="AmColumnHeading"/>
              <w:keepNext/>
            </w:pPr>
            <w:r w:rsidRPr="00175E82">
              <w:t>Τροπολογία</w:t>
            </w:r>
          </w:p>
        </w:tc>
      </w:tr>
      <w:tr w:rsidR="00FC0A79" w:rsidRPr="00175E82" w:rsidTr="00942688">
        <w:trPr>
          <w:jc w:val="center"/>
        </w:trPr>
        <w:tc>
          <w:tcPr>
            <w:tcW w:w="4876" w:type="dxa"/>
          </w:tcPr>
          <w:p w:rsidR="00D83E57" w:rsidRPr="00175E82" w:rsidRDefault="00271899" w:rsidP="00942688">
            <w:pPr>
              <w:pStyle w:val="Normal6a"/>
            </w:pPr>
            <w:r w:rsidRPr="00175E82">
              <w:t>(14)</w:t>
            </w:r>
            <w:r w:rsidRPr="00175E82">
              <w:tab/>
              <w:t>Η στήριξη του ΤΔΜ θα πρέπει να εξαρτάται από την αποτελεσματική εφαρμογή της διαδικασίας μετάβασης σε ένα συγκεκριμένο έδαφος με σκοπό την επίτευξη κλιματικά ουδέτερης οικον</w:t>
            </w:r>
            <w:r w:rsidRPr="00175E82">
              <w:t>ομίας. Σχετικά μ’ αυτό, τα κράτη μέλη θα πρέπει να καταρτίζουν, σε συνεργασία με τα οικεία ενδιαφερόμενα μέρη και με την υποστήριξη της Επιτροπής, εδαφικά σχέδια δίκαιης μετάβασης, με λεπτομερή περιγραφή της διαδικασίας μετάβασης, τα οποία να συνάδουν με τ</w:t>
            </w:r>
            <w:r w:rsidRPr="00175E82">
              <w:t>α εθνικά τους σχέδια για την ενέργεια και το κλίμα. Για τον σκοπό αυτό, η Επιτροπή θα πρέπει να δημιουργήσει μια Πλατφόρμα Δίκαιης Μετάβασης, η οποία να στηρίζεται στην υφιστάμενη πλατφόρμα για τις περιοχές εξόρυξης άνθρακα που βρίσκονται σε μετάβαση και ν</w:t>
            </w:r>
            <w:r w:rsidRPr="00175E82">
              <w:t>α παρέχει τη δυνατότητα διμερών και πολυμερών ανταλλαγών εμπειριών σχετικά με τα αντληθέντα διδάγματα και τις βέλτιστες πρακτικές σε όλους τους τομείς που επηρεάζονται.</w:t>
            </w:r>
          </w:p>
        </w:tc>
        <w:tc>
          <w:tcPr>
            <w:tcW w:w="4876" w:type="dxa"/>
          </w:tcPr>
          <w:p w:rsidR="00D83E57" w:rsidRPr="00175E82" w:rsidRDefault="00271899" w:rsidP="00D83E57">
            <w:pPr>
              <w:pStyle w:val="Normal6a"/>
              <w:rPr>
                <w:szCs w:val="24"/>
              </w:rPr>
            </w:pPr>
            <w:r w:rsidRPr="00175E82">
              <w:t>(14)</w:t>
            </w:r>
            <w:r w:rsidRPr="00175E82">
              <w:tab/>
              <w:t>Η στήριξη του ΤΔΜ θα πρέπει να εξαρτάται από την αποτελεσματική εφαρμογή της διαδι</w:t>
            </w:r>
            <w:r w:rsidRPr="00175E82">
              <w:t>κασίας μετάβασης σε ένα συγκεκριμένο έδαφος με σκοπό την επίτευξη κλιματικά ουδέτερης οικονομίας. Σχετικά μ’ αυτό, τα κράτη μέλη θα πρέπει να καταρτίζουν, σε συνεργασία με τα οικεία ενδιαφερόμενα μέρη</w:t>
            </w:r>
            <w:r w:rsidRPr="00175E82">
              <w:rPr>
                <w:b/>
                <w:i/>
              </w:rPr>
              <w:t>,</w:t>
            </w:r>
            <w:r w:rsidRPr="00175E82">
              <w:t xml:space="preserve"> </w:t>
            </w:r>
            <w:r w:rsidRPr="00175E82">
              <w:rPr>
                <w:b/>
                <w:i/>
              </w:rPr>
              <w:t>σύμφωνα με την αρχή της εταιρικής σχέσης που θεσπίζετα</w:t>
            </w:r>
            <w:r w:rsidRPr="00175E82">
              <w:rPr>
                <w:b/>
                <w:i/>
              </w:rPr>
              <w:t>ι στο άρθρο 6 του κανονισμού (ΕΕ) .../... [νέος ΚΚΔ],</w:t>
            </w:r>
            <w:r w:rsidRPr="00175E82">
              <w:t xml:space="preserve"> και με την υποστήριξη της Επιτροπής, εδαφικά σχέδια δίκαιης μετάβασης, με λεπτομερή περιγραφή της διαδικασίας μετάβασης, τα οποία να συνάδουν με τα εθνικά τους σχέδια για την ενέργεια και το κλίμα. Για </w:t>
            </w:r>
            <w:r w:rsidRPr="00175E82">
              <w:t>τον σκοπό αυτό, η Επιτροπή θα πρέπει να δημιουργήσει μια Πλατφόρμα Δίκαιης Μετάβασης, η οποία να στηρίζεται στην υφιστάμενη πλατφόρμα για τις περιοχές εξόρυξης άνθρακα που βρίσκονται σε μετάβαση και να παρέχει τη δυνατότητα διμερών και πολυμερών ανταλλαγών</w:t>
            </w:r>
            <w:r w:rsidRPr="00175E82">
              <w:t xml:space="preserve"> εμπειριών σχετικά με τα αντληθέντα διδάγματα και τις βέλτιστες πρακτικές σε όλους τους τομείς που επηρεάζονται.</w:t>
            </w:r>
          </w:p>
        </w:tc>
      </w:tr>
    </w:tbl>
    <w:p w:rsidR="00D83E57" w:rsidRPr="00175E82" w:rsidRDefault="00271899" w:rsidP="00D83E57">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D83E57">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D83E57" w:rsidRPr="00175E82" w:rsidRDefault="00271899" w:rsidP="00D83E57">
      <w:pPr>
        <w:pStyle w:val="AmJustText"/>
      </w:pPr>
      <w:r w:rsidRPr="00175E82">
        <w:t xml:space="preserve">Το Κοινοβούλιο θεωρεί ότι η συμμόρφωση με την αρχή της εταιρικής σχέσης </w:t>
      </w:r>
      <w:r w:rsidRPr="00175E82">
        <w:t>έχει καίρια σημασία για την επιτυχία ενός εδαφικού σχεδίου δίκαιης μετάβασης, καθώς διασφαλίζει ότι οικονομικοί και κοινωνικοί εταίροι, καθώς και, για παράδειγμα, περιβαλλοντικές ομάδες συμφερόντων, μπορούν να συμμετέχουν σε διαβουλεύσεις σχετικά με θέματα</w:t>
      </w:r>
      <w:r w:rsidRPr="00175E82">
        <w:t xml:space="preserve"> προγραμματισμού και υλοποίησης.</w:t>
      </w:r>
    </w:p>
    <w:p w:rsidR="00D83E57" w:rsidRPr="00175E82" w:rsidRDefault="00271899" w:rsidP="00D83E57">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10</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Αιτιολογική σκέψη 15</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(15)</w:t>
            </w:r>
            <w:r w:rsidRPr="00175E82">
              <w:tab/>
              <w:t>Τα εδαφικά σχέδια δίκαιης μετάβασης θα πρέπει</w:t>
            </w:r>
            <w:r w:rsidRPr="00175E82">
              <w:t xml:space="preserve"> να εντοπίζουν τα εδάφη που επηρεάζονται αρνητικά σε μεγαλύτερο βαθμό, στα οποία θα πρέπει να επικεντρώνεται η στήριξη του ΤΔΜ, και να περιγράφουν ειδικές δράσεις που θα πρέπει να αναληφθούν για την επίτευξη της κλιματικά ουδέτερης οικονομίας, ιδίως όσον α</w:t>
            </w:r>
            <w:r w:rsidRPr="00175E82">
              <w:t>φορά τη μετατροπή ή το κλείσιμο εγκαταστάσεων που σχετίζονται με την παραγωγή ορυκτών καυσίμων ή με άλλες δραστηριότητες έντασης εκπομπών αερίων του θερμοκηπίου. Τα εν λόγω εδάφη θα πρέπει να αντιστοιχούν σε περιφέρειες επιπέδου NUTS 3 ή να είναι τμήματα τ</w:t>
            </w:r>
            <w:r w:rsidRPr="00175E82">
              <w:t>ων περιφερειών αυτών. Τα σχέδια θα πρέπει να περιγράφουν λεπτομερώς τα προβλήματα και τις ανάγκες των εν λόγω εδαφών και να προσδιορίζουν το είδος των πράξεων που απαιτούνται με τρόπο που να εξασφαλίζει με συνέπεια την ανάπτυξη κλιματικά ανθεκτικών οικονομ</w:t>
            </w:r>
            <w:r w:rsidRPr="00175E82">
              <w:t xml:space="preserve">ικών δραστηριοτήτων, που συνάδουν επίσης με τη μετάβαση προς την κλιματική ουδετερότητα και με τους στόχους της Πράσινης Συμφωνίας. Μόνο οι επενδύσεις που συμφωνούν με τα σχέδια μετάβασης θα πρέπει να λαμβάνουν χρηματοδοτική στήριξη από το ΤΔΜ. Τα εδαφικά </w:t>
            </w:r>
            <w:r w:rsidRPr="00175E82">
              <w:t>σχέδια δίκαιης μετάβασης θα πρέπει να αποτελούν μέρος των προγραμμάτων (που υποστηρίζονται από το ΕΤΠΑ, το ΕΚΤ+, το Ταμείο Συνοχής και το ΤΔΜ, ανάλογα με την περίπτωση) τα οποία εγκρίνονται από την Επιτροπή.</w:t>
            </w:r>
          </w:p>
        </w:tc>
        <w:tc>
          <w:tcPr>
            <w:tcW w:w="4876" w:type="dxa"/>
          </w:tcPr>
          <w:p w:rsidR="00B5144E" w:rsidRPr="00175E82" w:rsidRDefault="00271899" w:rsidP="0066616F">
            <w:pPr>
              <w:pStyle w:val="Normal6a"/>
              <w:rPr>
                <w:szCs w:val="24"/>
              </w:rPr>
            </w:pPr>
            <w:r w:rsidRPr="00175E82">
              <w:t>(15)</w:t>
            </w:r>
            <w:r w:rsidRPr="00175E82">
              <w:tab/>
              <w:t xml:space="preserve">Τα εδαφικά σχέδια δίκαιης μετάβασης θα </w:t>
            </w:r>
            <w:r w:rsidRPr="00175E82">
              <w:t xml:space="preserve">πρέπει να εντοπίζουν τα εδάφη που επηρεάζονται αρνητικά σε μεγαλύτερο βαθμό, στα οποία θα πρέπει να επικεντρώνεται η στήριξη του ΤΔΜ, και να περιγράφουν ειδικές δράσεις που θα πρέπει να αναληφθούν για την επίτευξη της κλιματικά ουδέτερης οικονομίας, ιδίως </w:t>
            </w:r>
            <w:r w:rsidRPr="00175E82">
              <w:t>όσον αφορά τη μετατροπή ή το κλείσιμο εγκαταστάσεων που σχετίζονται με την παραγωγή ορυκτών καυσίμων ή με άλλες δραστηριότητες έντασης εκπομπών αερίων του θερμοκηπίου</w:t>
            </w:r>
            <w:r w:rsidRPr="00175E82">
              <w:rPr>
                <w:b/>
                <w:i/>
              </w:rPr>
              <w:t>, διατηρώντας και διευρύνοντας παράλληλα τις ευκαιρίες απασχόλησης στα επηρεαζόμενα εδάφη,</w:t>
            </w:r>
            <w:r w:rsidRPr="00175E82">
              <w:rPr>
                <w:b/>
                <w:i/>
              </w:rPr>
              <w:t xml:space="preserve"> προκειμένου να αποφευχθεί ο κοινωνικός αποκλεισμός</w:t>
            </w:r>
            <w:r w:rsidRPr="00175E82">
              <w:t>. Τα εν λόγω εδάφη θα πρέπει να αντιστοιχούν σε περιφέρειες επιπέδου NUTS 3 ή να είναι τμήματα των περιφερειών αυτών. Τα σχέδια θα πρέπει να περιγράφουν λεπτομερώς τα προβλήματα και τις ανάγκες των εν λόγω</w:t>
            </w:r>
            <w:r w:rsidRPr="00175E82">
              <w:t xml:space="preserve"> εδαφών και να προσδιορίζουν το είδος των πράξεων που απαιτούνται με τρόπο που να εξασφαλίζει με συνέπεια την ανάπτυξη κλιματικά ανθεκτικών οικονομικών δραστηριοτήτων, που συνάδουν επίσης με τη μετάβαση προς την κλιματική ουδετερότητα και με τους στόχους τ</w:t>
            </w:r>
            <w:r w:rsidRPr="00175E82">
              <w:t>ης Πράσινης Συμφωνίας. Μόνο οι επενδύσεις που συμφωνούν με τα σχέδια μετάβασης θα πρέπει να λαμβάνουν χρηματοδοτική στήριξη από το ΤΔΜ. Τα εδαφικά σχέδια δίκαιης μετάβασης θα πρέπει να αποτελούν μέρος των προγραμμάτων (που υποστηρίζονται από το ΕΤΠΑ, το ΕΚ</w:t>
            </w:r>
            <w:r w:rsidRPr="00175E82">
              <w:t>Τ+, το Ταμείο Συνοχής και το ΤΔΜ, ανάλογα με την περίπτωση) τα οποία εγκρίνονται από την Επιτροπή.</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CC3B07" w:rsidRPr="00175E82">
        <w:rPr>
          <w:rStyle w:val="HideTWBInt"/>
        </w:rPr>
        <w:t>{EN}</w:t>
      </w:r>
      <w:r w:rsidR="00CC3B07"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Ο εισηγητής θεωρεί ότι είναι σημαντικό να επισημανθεί επίσης η κοινωνική διάσταση του ΤΔΜ</w:t>
      </w:r>
      <w:r w:rsidRPr="00175E82">
        <w:t>.</w:t>
      </w:r>
    </w:p>
    <w:p w:rsidR="00B5144E" w:rsidRPr="00175E82" w:rsidRDefault="00271899" w:rsidP="00B5144E">
      <w:r w:rsidRPr="00175E82">
        <w:rPr>
          <w:rStyle w:val="HideTWBExt"/>
          <w:noProof w:val="0"/>
        </w:rPr>
        <w:t>&lt;/Amend&gt;</w:t>
      </w:r>
    </w:p>
    <w:p w:rsidR="00D83E57" w:rsidRPr="00175E82" w:rsidRDefault="00271899" w:rsidP="0094268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11</w:t>
      </w:r>
      <w:r w:rsidRPr="00175E82">
        <w:rPr>
          <w:rStyle w:val="HideTWBExt"/>
          <w:b w:val="0"/>
          <w:noProof w:val="0"/>
        </w:rPr>
        <w:t>&lt;/NumAm&gt;</w:t>
      </w:r>
    </w:p>
    <w:p w:rsidR="00D83E57" w:rsidRPr="00175E82" w:rsidRDefault="00271899" w:rsidP="0094268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942688">
      <w:pPr>
        <w:pStyle w:val="NormalBold"/>
        <w:keepNext/>
      </w:pPr>
      <w:r w:rsidRPr="00175E82">
        <w:rPr>
          <w:rStyle w:val="HideTWBExt"/>
          <w:b w:val="0"/>
          <w:noProof w:val="0"/>
        </w:rPr>
        <w:t>&lt;Article&gt;</w:t>
      </w:r>
      <w:r w:rsidRPr="00175E82">
        <w:t>Αιτιολογική σκέψη 15 α (νέα)</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D83E57" w:rsidRPr="00175E82" w:rsidRDefault="00D83E57" w:rsidP="00DA6ED0">
            <w:pPr>
              <w:keepNext/>
            </w:pPr>
          </w:p>
        </w:tc>
      </w:tr>
      <w:tr w:rsidR="00FC0A79" w:rsidRPr="00175E82" w:rsidTr="002669B6">
        <w:trPr>
          <w:jc w:val="center"/>
        </w:trPr>
        <w:tc>
          <w:tcPr>
            <w:tcW w:w="4876" w:type="dxa"/>
          </w:tcPr>
          <w:p w:rsidR="00D83E57" w:rsidRPr="00175E82" w:rsidRDefault="00271899" w:rsidP="00DA6ED0">
            <w:pPr>
              <w:pStyle w:val="AmColumnHeading"/>
              <w:keepNext/>
            </w:pPr>
            <w:r w:rsidRPr="00175E82">
              <w:t>Κείμενο που προτείνει η Επιτροπή</w:t>
            </w:r>
          </w:p>
        </w:tc>
        <w:tc>
          <w:tcPr>
            <w:tcW w:w="4876" w:type="dxa"/>
          </w:tcPr>
          <w:p w:rsidR="00D83E57"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D83E57" w:rsidRPr="00175E82" w:rsidRDefault="00D83E57" w:rsidP="002669B6">
            <w:pPr>
              <w:pStyle w:val="Normal6a"/>
            </w:pPr>
          </w:p>
        </w:tc>
        <w:tc>
          <w:tcPr>
            <w:tcW w:w="4876" w:type="dxa"/>
          </w:tcPr>
          <w:p w:rsidR="00D83E57" w:rsidRPr="00175E82" w:rsidRDefault="00271899" w:rsidP="008C6EF7">
            <w:pPr>
              <w:pStyle w:val="Normal6a"/>
              <w:rPr>
                <w:b/>
                <w:i/>
                <w:szCs w:val="24"/>
              </w:rPr>
            </w:pPr>
            <w:r w:rsidRPr="00175E82">
              <w:rPr>
                <w:b/>
                <w:i/>
              </w:rPr>
              <w:t xml:space="preserve">(15α) </w:t>
            </w:r>
            <w:r w:rsidRPr="00175E82">
              <w:rPr>
                <w:b/>
                <w:i/>
              </w:rPr>
              <w:tab/>
              <w:t xml:space="preserve">Τα εδαφικά σχέδια δίκαιης μετάβασης πρέπει να υποβληθούν έως το </w:t>
            </w:r>
            <w:r w:rsidRPr="00175E82">
              <w:rPr>
                <w:b/>
                <w:i/>
              </w:rPr>
              <w:t>τέλος του 2020. Η υλοποίησή τους αποτελεί πρόκληση για τις διαχειριστικές αρχές και τα κράτη μέλη, καθώς η έγκριση των εν λόγω σχεδίων είναι αναγκαία για την ενεργοποίηση της χρηματοδότησης. Οι υπό όρους προχρηματοδοτήσεις για τεχνική βοήθεια θα πρέπει, επ</w:t>
            </w:r>
            <w:r w:rsidRPr="00175E82">
              <w:rPr>
                <w:b/>
                <w:i/>
              </w:rPr>
              <w:t>ομένως, να καταστούν διαθέσιμες πριν από την έγκριση των σχεδίων, προκειμένου να αντιμετωπιστεί αυτή η πρόκληση.</w:t>
            </w:r>
          </w:p>
        </w:tc>
      </w:tr>
    </w:tbl>
    <w:p w:rsidR="00D83E57" w:rsidRPr="00175E82" w:rsidRDefault="00271899" w:rsidP="0094268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942688">
      <w:r w:rsidRPr="00175E82">
        <w:rPr>
          <w:rStyle w:val="HideTWBExt"/>
          <w:noProof w:val="0"/>
        </w:rPr>
        <w:t>&lt;/Amend&gt;</w:t>
      </w:r>
    </w:p>
    <w:p w:rsidR="00D83E57" w:rsidRPr="00175E82" w:rsidRDefault="00271899" w:rsidP="00D83E57">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12</w:t>
      </w:r>
      <w:r w:rsidRPr="00175E82">
        <w:rPr>
          <w:rStyle w:val="HideTWBExt"/>
          <w:b w:val="0"/>
          <w:noProof w:val="0"/>
        </w:rPr>
        <w:t>&lt;/NumAm&gt;</w:t>
      </w:r>
    </w:p>
    <w:p w:rsidR="00D83E57" w:rsidRPr="00175E82" w:rsidRDefault="00271899" w:rsidP="00D83E57">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83E57" w:rsidRPr="00175E82" w:rsidRDefault="00271899" w:rsidP="00D83E57">
      <w:pPr>
        <w:pStyle w:val="NormalBold"/>
        <w:keepNext/>
      </w:pPr>
      <w:r w:rsidRPr="00175E82">
        <w:rPr>
          <w:rStyle w:val="HideTWBExt"/>
          <w:b w:val="0"/>
          <w:noProof w:val="0"/>
        </w:rPr>
        <w:t>&lt;Article&gt;</w:t>
      </w:r>
      <w:r w:rsidRPr="00175E82">
        <w:t>Αιτιολογική σκέ</w:t>
      </w:r>
      <w:r w:rsidRPr="00175E82">
        <w:t>ψη 16</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942688">
        <w:trPr>
          <w:jc w:val="center"/>
        </w:trPr>
        <w:tc>
          <w:tcPr>
            <w:tcW w:w="9752" w:type="dxa"/>
            <w:gridSpan w:val="2"/>
          </w:tcPr>
          <w:p w:rsidR="00D83E57" w:rsidRPr="00175E82" w:rsidRDefault="00D83E57" w:rsidP="00942688">
            <w:pPr>
              <w:keepNext/>
            </w:pPr>
          </w:p>
        </w:tc>
      </w:tr>
      <w:tr w:rsidR="00FC0A79" w:rsidRPr="00175E82" w:rsidTr="00942688">
        <w:trPr>
          <w:jc w:val="center"/>
        </w:trPr>
        <w:tc>
          <w:tcPr>
            <w:tcW w:w="4876" w:type="dxa"/>
          </w:tcPr>
          <w:p w:rsidR="00D83E57" w:rsidRPr="00175E82" w:rsidRDefault="00271899" w:rsidP="00942688">
            <w:pPr>
              <w:pStyle w:val="AmColumnHeading"/>
              <w:keepNext/>
            </w:pPr>
            <w:r w:rsidRPr="00175E82">
              <w:t>Κείμενο που προτείνει η Επιτροπή</w:t>
            </w:r>
          </w:p>
        </w:tc>
        <w:tc>
          <w:tcPr>
            <w:tcW w:w="4876" w:type="dxa"/>
          </w:tcPr>
          <w:p w:rsidR="00D83E57" w:rsidRPr="00175E82" w:rsidRDefault="00271899" w:rsidP="00942688">
            <w:pPr>
              <w:pStyle w:val="AmColumnHeading"/>
              <w:keepNext/>
            </w:pPr>
            <w:r w:rsidRPr="00175E82">
              <w:t>Τροπολογία</w:t>
            </w:r>
          </w:p>
        </w:tc>
      </w:tr>
      <w:tr w:rsidR="00FC0A79" w:rsidRPr="00175E82" w:rsidTr="00942688">
        <w:trPr>
          <w:jc w:val="center"/>
        </w:trPr>
        <w:tc>
          <w:tcPr>
            <w:tcW w:w="4876" w:type="dxa"/>
          </w:tcPr>
          <w:p w:rsidR="00D83E57" w:rsidRPr="00175E82" w:rsidRDefault="00271899" w:rsidP="00942688">
            <w:pPr>
              <w:pStyle w:val="Normal6a"/>
            </w:pPr>
            <w:r w:rsidRPr="00175E82">
              <w:t>(16)</w:t>
            </w:r>
            <w:r w:rsidRPr="00175E82">
              <w:tab/>
              <w:t>Για να ενισχυθεί ο προσανατολισμός της χρήσης πόρων του ΤΔΜ στα αποτελέσματα, η Επιτροπή, σύμφωνα με την αρχή της αναλογικότητας, θα πρέπει να μπορεί να εφαρμόζει δημοσιονομικές διορθώσεις</w:t>
            </w:r>
            <w:r w:rsidRPr="00175E82">
              <w:t xml:space="preserve"> σε περίπτωση σοβαρής υστέρησης ως προς τους αριθμητικούς στόχους που έχουν καθοριστεί για τον ειδικό στόχο του ΤΔΜ.</w:t>
            </w:r>
          </w:p>
        </w:tc>
        <w:tc>
          <w:tcPr>
            <w:tcW w:w="4876" w:type="dxa"/>
          </w:tcPr>
          <w:p w:rsidR="00D83E57" w:rsidRPr="00175E82" w:rsidRDefault="00271899" w:rsidP="008C6EF7">
            <w:pPr>
              <w:pStyle w:val="Normal6a"/>
              <w:rPr>
                <w:szCs w:val="24"/>
              </w:rPr>
            </w:pPr>
            <w:r w:rsidRPr="00175E82">
              <w:t>(16)</w:t>
            </w:r>
            <w:r w:rsidRPr="00175E82">
              <w:tab/>
              <w:t xml:space="preserve">Για να ενισχυθεί ο προσανατολισμός της χρήσης πόρων του ΤΔΜ στα αποτελέσματα, η Επιτροπή, σύμφωνα με την αρχή της αναλογικότητας </w:t>
            </w:r>
            <w:r w:rsidRPr="00175E82">
              <w:rPr>
                <w:b/>
                <w:i/>
              </w:rPr>
              <w:t>και τ</w:t>
            </w:r>
            <w:r w:rsidRPr="00175E82">
              <w:rPr>
                <w:b/>
                <w:i/>
              </w:rPr>
              <w:t>ον κανονισμό (ΕΕ) .../... [νέος ΚΚΔ]</w:t>
            </w:r>
            <w:r w:rsidRPr="00175E82">
              <w:t>, θα πρέπει να μπορεί να εφαρμόζει δημοσιονομικές διορθώσεις σε περίπτωση σοβαρής υστέρησης ως προς τους αριθμητικούς στόχους που έχουν καθοριστεί για τον ειδικό στόχο του ΤΔΜ.</w:t>
            </w:r>
          </w:p>
        </w:tc>
      </w:tr>
    </w:tbl>
    <w:p w:rsidR="00D83E57" w:rsidRPr="00175E82" w:rsidRDefault="00271899" w:rsidP="00D83E57">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D83E57" w:rsidRPr="00175E82" w:rsidRDefault="00271899" w:rsidP="00D83E57">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w:t>
      </w:r>
      <w:r w:rsidRPr="00175E82">
        <w:rPr>
          <w:rStyle w:val="HideTWBExt"/>
          <w:b w:val="0"/>
          <w:noProof w:val="0"/>
        </w:rPr>
        <w:t>Amend&gt;</w:t>
      </w:r>
      <w:r w:rsidRPr="00175E82">
        <w:t>Τροπολογία</w:t>
      </w:r>
      <w:r w:rsidRPr="00175E82">
        <w:tab/>
      </w:r>
      <w:r w:rsidRPr="00175E82">
        <w:tab/>
      </w:r>
      <w:r w:rsidRPr="00175E82">
        <w:rPr>
          <w:rStyle w:val="HideTWBExt"/>
          <w:b w:val="0"/>
          <w:noProof w:val="0"/>
        </w:rPr>
        <w:t>&lt;NumAm&gt;</w:t>
      </w:r>
      <w:r w:rsidRPr="00175E82">
        <w:t>13</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Άρθρο 3 – παράγραφος 2 – εδάφιο 1</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 xml:space="preserve">Οι πόροι για το ΤΔΜ στο πλαίσιο του στόχου «Επενδύσεις στην απασχόληση και την ανάπτυξη» που είναι διαθέσιμοι για δημοσιονομική ανάληψη υποχρεώσεων την περίοδο 2021-2027 ανέρχονται σε </w:t>
            </w:r>
            <w:r w:rsidRPr="00175E82">
              <w:rPr>
                <w:b/>
                <w:i/>
              </w:rPr>
              <w:t>7,5</w:t>
            </w:r>
            <w:r w:rsidRPr="00175E82">
              <w:t xml:space="preserve"> </w:t>
            </w:r>
            <w:r w:rsidRPr="00175E82">
              <w:rPr>
                <w:b/>
                <w:i/>
              </w:rPr>
              <w:t>δισ. EUR</w:t>
            </w:r>
            <w:r w:rsidRPr="00175E82">
              <w:t xml:space="preserve"> σε τιμές 2018, </w:t>
            </w:r>
            <w:r w:rsidRPr="00175E82">
              <w:rPr>
                <w:b/>
                <w:i/>
              </w:rPr>
              <w:t>στους οποίους</w:t>
            </w:r>
            <w:r w:rsidRPr="00175E82">
              <w:t xml:space="preserve"> μπορούν να προστεθούν, ενδεχομ</w:t>
            </w:r>
            <w:r w:rsidRPr="00175E82">
              <w:t>ένως, συμπληρωματικοί πόροι που έχουν διατεθεί στον προϋπολογισμό της Ένωσης και άλλοι πόροι σύμφωνα με την ισχύουσα βασική πράξη.</w:t>
            </w:r>
          </w:p>
        </w:tc>
        <w:tc>
          <w:tcPr>
            <w:tcW w:w="4876" w:type="dxa"/>
          </w:tcPr>
          <w:p w:rsidR="00B5144E" w:rsidRPr="00175E82" w:rsidRDefault="00271899" w:rsidP="00621D4F">
            <w:pPr>
              <w:pStyle w:val="Normal6a"/>
              <w:rPr>
                <w:szCs w:val="24"/>
              </w:rPr>
            </w:pPr>
            <w:r w:rsidRPr="00175E82">
              <w:t>Οι πόροι για το ΤΔΜ στο πλαίσιο του στόχου «Επενδύσεις στην απασχόληση και την ανάπτυξη» που είναι διαθέσιμοι για δημοσιονομι</w:t>
            </w:r>
            <w:r w:rsidRPr="00175E82">
              <w:t xml:space="preserve">κή ανάληψη υποχρεώσεων την περίοδο 2021-2027 ανέρχονται σε </w:t>
            </w:r>
            <w:r w:rsidRPr="00175E82">
              <w:rPr>
                <w:b/>
                <w:i/>
              </w:rPr>
              <w:t>17,88</w:t>
            </w:r>
            <w:r w:rsidRPr="00175E82">
              <w:t xml:space="preserve"> </w:t>
            </w:r>
            <w:r w:rsidRPr="00175E82">
              <w:rPr>
                <w:b/>
                <w:i/>
              </w:rPr>
              <w:t>δισ. EUR</w:t>
            </w:r>
            <w:r w:rsidRPr="00175E82">
              <w:t xml:space="preserve"> σε τιμές 2018 </w:t>
            </w:r>
            <w:r w:rsidRPr="00175E82">
              <w:rPr>
                <w:b/>
                <w:i/>
              </w:rPr>
              <w:t>(«αρχικό κεφάλαιο»), και δεν μεταφέρονται από τα κονδύλια των ταμείων που καλύπτονται από τον κανονισμό</w:t>
            </w:r>
            <w:r w:rsidRPr="00175E82">
              <w:t xml:space="preserve"> </w:t>
            </w:r>
            <w:r w:rsidRPr="00175E82">
              <w:rPr>
                <w:b/>
                <w:i/>
              </w:rPr>
              <w:t>(ΕΕ) .../... [νέος ΚΚΔ]</w:t>
            </w:r>
            <w:r w:rsidRPr="00175E82">
              <w:t>.</w:t>
            </w:r>
            <w:r w:rsidRPr="00175E82">
              <w:rPr>
                <w:b/>
                <w:i/>
              </w:rPr>
              <w:t xml:space="preserve"> Στο αρχικό κεφάλαιο</w:t>
            </w:r>
            <w:r w:rsidRPr="00175E82">
              <w:t xml:space="preserve"> μπορούν να προστεθο</w:t>
            </w:r>
            <w:r w:rsidRPr="00175E82">
              <w:t>ύν, ενδεχομένως, συμπληρωματικοί πόροι που έχουν διατεθεί στον προϋπολογισμό της Ένωσης και άλλοι πόροι σύμφωνα με την ισχύουσα βασική πράξη.</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CC3B07" w:rsidRPr="00175E82">
        <w:rPr>
          <w:rStyle w:val="HideTWBInt"/>
        </w:rPr>
        <w:t>{EN}</w:t>
      </w:r>
      <w:r w:rsidR="00CC3B07"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 xml:space="preserve">Λαμβάνοντας υπόψη το γεγονός ότι το ΤΔΜ, όπως </w:t>
      </w:r>
      <w:r w:rsidRPr="00175E82">
        <w:t>προτείνεται, έχει πολύ ευρύτερη εμβέλεια από το Ταμείο για τη δίκαιη ενεργειακή μετάβαση που είχε προταθεί προηγουμένως από το Κοινοβούλιο, απαιτείται πολύ μεγαλύτερος προϋπολογισμός. Ωστόσο, δεν θα πρέπει να τεθούν σε κίνδυνο τα μέσα των άλλων ταμείων συν</w:t>
      </w:r>
      <w:r w:rsidRPr="00175E82">
        <w:t>οχής.</w:t>
      </w:r>
    </w:p>
    <w:p w:rsidR="00B5144E" w:rsidRPr="00175E82" w:rsidRDefault="00271899" w:rsidP="00B5144E">
      <w:r w:rsidRPr="00175E82">
        <w:rPr>
          <w:rStyle w:val="HideTWBExt"/>
          <w:noProof w:val="0"/>
        </w:rPr>
        <w:t>&lt;/Amend&gt;</w:t>
      </w:r>
    </w:p>
    <w:p w:rsidR="00AA40FF"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14</w:t>
      </w:r>
      <w:r w:rsidRPr="00175E82">
        <w:rPr>
          <w:rStyle w:val="HideTWBExt"/>
          <w:b w:val="0"/>
          <w:noProof w:val="0"/>
        </w:rPr>
        <w:t>&lt;/NumAm&gt;</w:t>
      </w:r>
    </w:p>
    <w:p w:rsidR="00AA40FF"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AA40FF" w:rsidRPr="00175E82" w:rsidRDefault="00271899" w:rsidP="000C3448">
      <w:pPr>
        <w:pStyle w:val="NormalBold"/>
        <w:keepNext/>
      </w:pPr>
      <w:r w:rsidRPr="00175E82">
        <w:rPr>
          <w:rStyle w:val="HideTWBExt"/>
          <w:b w:val="0"/>
          <w:noProof w:val="0"/>
        </w:rPr>
        <w:t>&lt;Article&gt;</w:t>
      </w:r>
      <w:r w:rsidRPr="00175E82">
        <w:t>Άρθρο 3 – παράγραφος 3</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AA40FF" w:rsidRPr="00175E82" w:rsidRDefault="00AA40FF" w:rsidP="00DA6ED0">
            <w:pPr>
              <w:keepNext/>
            </w:pPr>
          </w:p>
        </w:tc>
      </w:tr>
      <w:tr w:rsidR="00FC0A79" w:rsidRPr="00175E82" w:rsidTr="002669B6">
        <w:trPr>
          <w:jc w:val="center"/>
        </w:trPr>
        <w:tc>
          <w:tcPr>
            <w:tcW w:w="4876" w:type="dxa"/>
          </w:tcPr>
          <w:p w:rsidR="00AA40FF" w:rsidRPr="00175E82" w:rsidRDefault="00271899" w:rsidP="00DA6ED0">
            <w:pPr>
              <w:pStyle w:val="AmColumnHeading"/>
              <w:keepNext/>
            </w:pPr>
            <w:r w:rsidRPr="00175E82">
              <w:t>Κείμενο που προτείνει η Επιτροπή</w:t>
            </w:r>
          </w:p>
        </w:tc>
        <w:tc>
          <w:tcPr>
            <w:tcW w:w="4876" w:type="dxa"/>
          </w:tcPr>
          <w:p w:rsidR="00AA40FF"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AA40FF" w:rsidRPr="00175E82" w:rsidRDefault="00271899" w:rsidP="002669B6">
            <w:pPr>
              <w:pStyle w:val="Normal6a"/>
            </w:pPr>
            <w:r w:rsidRPr="00175E82">
              <w:t>3.</w:t>
            </w:r>
            <w:r w:rsidRPr="00175E82">
              <w:tab/>
              <w:t xml:space="preserve">Η Επιτροπή εκδίδει απόφαση, μέσω </w:t>
            </w:r>
            <w:r w:rsidRPr="00175E82">
              <w:rPr>
                <w:b/>
                <w:i/>
              </w:rPr>
              <w:t>εκτελεστικής</w:t>
            </w:r>
            <w:r w:rsidRPr="00175E82">
              <w:t xml:space="preserve"> πράξης, με την οποία ορίζεται η ετήσια κατανομή των πόρων, συμπεριλαμβανομένων τυχόν πρόσθετων πόρων που αναφέρονται στην παράγραφο 2, ανά κράτος μέλος, σύμφωνα με τη μεθοδολογία που ορίζεται στο παράρτημα I.</w:t>
            </w:r>
          </w:p>
        </w:tc>
        <w:tc>
          <w:tcPr>
            <w:tcW w:w="4876" w:type="dxa"/>
          </w:tcPr>
          <w:p w:rsidR="00AA40FF" w:rsidRPr="00175E82" w:rsidRDefault="00271899" w:rsidP="00FF175A">
            <w:pPr>
              <w:pStyle w:val="Normal6a"/>
              <w:rPr>
                <w:szCs w:val="24"/>
              </w:rPr>
            </w:pPr>
            <w:r w:rsidRPr="00175E82">
              <w:t>3.</w:t>
            </w:r>
            <w:r w:rsidRPr="00175E82">
              <w:tab/>
              <w:t xml:space="preserve">Η Επιτροπή εκδίδει απόφαση, μέσω </w:t>
            </w:r>
            <w:r w:rsidRPr="00175E82">
              <w:rPr>
                <w:b/>
                <w:i/>
              </w:rPr>
              <w:t>κατ’ εξουσ</w:t>
            </w:r>
            <w:r w:rsidRPr="00175E82">
              <w:rPr>
                <w:b/>
                <w:i/>
              </w:rPr>
              <w:t>ιοδότηση</w:t>
            </w:r>
            <w:r w:rsidRPr="00175E82">
              <w:t xml:space="preserve"> πράξης </w:t>
            </w:r>
            <w:r w:rsidRPr="00175E82">
              <w:rPr>
                <w:b/>
                <w:i/>
              </w:rPr>
              <w:t>σύμφωνα με το άρθρο 10</w:t>
            </w:r>
            <w:r w:rsidRPr="00175E82">
              <w:t>, με την οποία ορίζεται η ετήσια κατανομή των πόρων, συμπεριλαμβανομένων τυχόν πρόσθετων πόρων που αναφέρονται στην παράγραφο 2, ανά κράτος μέλος, σύμφωνα με τη μεθοδολογία που ορίζεται στο παράρτημα I.</w:t>
            </w:r>
          </w:p>
        </w:tc>
      </w:tr>
    </w:tbl>
    <w:p w:rsidR="00AA40FF"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AA40FF" w:rsidRPr="00175E82" w:rsidRDefault="00271899" w:rsidP="000C3448">
      <w:r w:rsidRPr="00175E82">
        <w:rPr>
          <w:rStyle w:val="HideTWBExt"/>
          <w:noProof w:val="0"/>
        </w:rPr>
        <w:t>&lt;/Amend&gt;</w:t>
      </w:r>
    </w:p>
    <w:p w:rsidR="00AA40FF" w:rsidRPr="00175E82" w:rsidRDefault="00271899" w:rsidP="00AA40FF">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15</w:t>
      </w:r>
      <w:r w:rsidRPr="00175E82">
        <w:rPr>
          <w:rStyle w:val="HideTWBExt"/>
          <w:b w:val="0"/>
          <w:noProof w:val="0"/>
        </w:rPr>
        <w:t>&lt;/NumAm&gt;</w:t>
      </w:r>
    </w:p>
    <w:p w:rsidR="00AA40FF" w:rsidRPr="00175E82" w:rsidRDefault="00271899" w:rsidP="00AA40FF">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AA40FF" w:rsidRPr="00175E82" w:rsidRDefault="00271899" w:rsidP="00AA40FF">
      <w:pPr>
        <w:pStyle w:val="NormalBold"/>
        <w:keepNext/>
      </w:pPr>
      <w:r w:rsidRPr="00175E82">
        <w:rPr>
          <w:rStyle w:val="HideTWBExt"/>
          <w:b w:val="0"/>
          <w:noProof w:val="0"/>
        </w:rPr>
        <w:t>&lt;Article&gt;</w:t>
      </w:r>
      <w:r w:rsidRPr="00175E82">
        <w:t>Άρθρο 4 – παράγραφος 2 – εδάφιο 1 – εισαγωγικό μέρος</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AA40FF" w:rsidRPr="00175E82" w:rsidRDefault="00AA40FF" w:rsidP="000C3448">
            <w:pPr>
              <w:keepNext/>
            </w:pPr>
          </w:p>
        </w:tc>
      </w:tr>
      <w:tr w:rsidR="00FC0A79" w:rsidRPr="00175E82" w:rsidTr="000C3448">
        <w:trPr>
          <w:jc w:val="center"/>
        </w:trPr>
        <w:tc>
          <w:tcPr>
            <w:tcW w:w="4876" w:type="dxa"/>
          </w:tcPr>
          <w:p w:rsidR="00AA40FF" w:rsidRPr="00175E82" w:rsidRDefault="00271899" w:rsidP="000C3448">
            <w:pPr>
              <w:pStyle w:val="AmColumnHeading"/>
              <w:keepNext/>
            </w:pPr>
            <w:r w:rsidRPr="00175E82">
              <w:t>Κείμενο που προτείνει η Επιτροπή</w:t>
            </w:r>
          </w:p>
        </w:tc>
        <w:tc>
          <w:tcPr>
            <w:tcW w:w="4876" w:type="dxa"/>
          </w:tcPr>
          <w:p w:rsidR="00AA40FF"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AA40FF" w:rsidRPr="00175E82" w:rsidRDefault="00271899" w:rsidP="000C3448">
            <w:pPr>
              <w:pStyle w:val="Normal6a"/>
            </w:pPr>
            <w:r w:rsidRPr="00175E82">
              <w:t xml:space="preserve">Σύμφωνα με την παράγραφο 1, το ΤΔΜ υποστηρίζει </w:t>
            </w:r>
            <w:r w:rsidRPr="00175E82">
              <w:rPr>
                <w:b/>
                <w:i/>
              </w:rPr>
              <w:t>αποκλειστικά</w:t>
            </w:r>
            <w:r w:rsidRPr="00175E82">
              <w:t xml:space="preserve"> τις ακόλουθες δραστηριότητες:</w:t>
            </w:r>
          </w:p>
        </w:tc>
        <w:tc>
          <w:tcPr>
            <w:tcW w:w="4876" w:type="dxa"/>
          </w:tcPr>
          <w:p w:rsidR="00AA40FF" w:rsidRPr="00175E82" w:rsidRDefault="00271899" w:rsidP="00AA40FF">
            <w:pPr>
              <w:pStyle w:val="Normal6a"/>
              <w:rPr>
                <w:szCs w:val="24"/>
              </w:rPr>
            </w:pPr>
            <w:r w:rsidRPr="00175E82">
              <w:t>Σύμφωνα με την παράγραφο 1, το ΤΔΜ υποστηρίζει τις ακόλουθες δραστηριότητες:</w:t>
            </w:r>
          </w:p>
        </w:tc>
      </w:tr>
    </w:tbl>
    <w:p w:rsidR="00AA40FF" w:rsidRPr="00175E82" w:rsidRDefault="00271899" w:rsidP="00AA40FF">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AA40FF" w:rsidRPr="00175E82" w:rsidRDefault="00271899" w:rsidP="00AA40FF">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16</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Άρθρο 4 – παράγραφος 2 – εδάφιο 1 – στοιχείο γ</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γ)</w:t>
            </w:r>
            <w:r w:rsidRPr="00175E82">
              <w:tab/>
              <w:t>επενδύσεις σε δραστηριότητες έρευνας και καινοτομίας και προώθηση της μεταφοράς προηγμένων τεχνολογιών·</w:t>
            </w:r>
          </w:p>
        </w:tc>
        <w:tc>
          <w:tcPr>
            <w:tcW w:w="4876" w:type="dxa"/>
          </w:tcPr>
          <w:p w:rsidR="00B5144E" w:rsidRPr="00175E82" w:rsidRDefault="00271899" w:rsidP="0066616F">
            <w:pPr>
              <w:pStyle w:val="Normal6a"/>
              <w:rPr>
                <w:szCs w:val="24"/>
              </w:rPr>
            </w:pPr>
            <w:r w:rsidRPr="00175E82">
              <w:t>γ)</w:t>
            </w:r>
            <w:r w:rsidRPr="00175E82">
              <w:tab/>
            </w:r>
            <w:r w:rsidRPr="00175E82">
              <w:t>επενδύσεις σε δραστηριότητες έρευνας και καινοτομίας</w:t>
            </w:r>
            <w:r w:rsidRPr="00175E82">
              <w:rPr>
                <w:b/>
                <w:i/>
              </w:rPr>
              <w:t>, μεταξύ άλλων σε πανεπιστήμια και δημόσια ερευνητικά ιδρύματα,</w:t>
            </w:r>
            <w:r w:rsidRPr="00175E82">
              <w:t xml:space="preserve"> και προώθηση της μεταφοράς προηγμένων τεχνολογιών·</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B84870" w:rsidRPr="00175E82">
        <w:rPr>
          <w:rStyle w:val="HideTWBInt"/>
        </w:rPr>
        <w:t>{EN}</w:t>
      </w:r>
      <w:r w:rsidR="00B84870" w:rsidRPr="00175E82">
        <w:t>en</w:t>
      </w:r>
      <w:r w:rsidRPr="00175E82">
        <w:rPr>
          <w:rStyle w:val="HideTWBExt"/>
          <w:rFonts w:eastAsiaTheme="majorEastAsia"/>
          <w:noProof w:val="0"/>
        </w:rPr>
        <w:t>&lt;/Original&gt;</w:t>
      </w:r>
    </w:p>
    <w:p w:rsidR="00B5144E" w:rsidRPr="00175E82" w:rsidRDefault="00271899" w:rsidP="00B5144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B5144E" w:rsidRPr="00175E82" w:rsidRDefault="00271899" w:rsidP="00B5144E">
      <w:pPr>
        <w:pStyle w:val="AmJustText"/>
      </w:pPr>
      <w:r w:rsidRPr="00175E82">
        <w:t xml:space="preserve">Ο εισηγητής επιθυμεί </w:t>
      </w:r>
      <w:r w:rsidRPr="00175E82">
        <w:t xml:space="preserve">να τονίσει ότι κεφάλαια για επενδύσεις στην Ε&amp;Κ μπορούν επίσης να διατεθούν σε πανεπιστήμια και δημόσια ερευνητικά ιδρύματα, όπου αυτό δικαιολογείται βάσει του εδαφικού σχεδίου δίκαιης μετάβασης. </w:t>
      </w:r>
    </w:p>
    <w:p w:rsidR="00B5144E" w:rsidRPr="00175E82" w:rsidRDefault="00271899" w:rsidP="00B5144E">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17</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w:t>
      </w:r>
      <w:r w:rsidRPr="00175E82">
        <w:t>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Άρθρο 4 – παράγραφος 2 – εδάφιο 1 – στοιχείο γ α (νέο)</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B5144E" w:rsidP="00AA40FF">
            <w:pPr>
              <w:pStyle w:val="Normal6a"/>
            </w:pPr>
          </w:p>
        </w:tc>
        <w:tc>
          <w:tcPr>
            <w:tcW w:w="4876" w:type="dxa"/>
          </w:tcPr>
          <w:p w:rsidR="00B5144E" w:rsidRPr="00175E82" w:rsidRDefault="00271899" w:rsidP="00AA40FF">
            <w:pPr>
              <w:pStyle w:val="Normal6a"/>
              <w:rPr>
                <w:b/>
                <w:i/>
                <w:szCs w:val="24"/>
              </w:rPr>
            </w:pPr>
            <w:r w:rsidRPr="00175E82">
              <w:rPr>
                <w:b/>
                <w:i/>
              </w:rPr>
              <w:t>γ α)</w:t>
            </w:r>
            <w:r w:rsidRPr="00175E82">
              <w:t xml:space="preserve"> </w:t>
            </w:r>
            <w:r w:rsidRPr="00175E82">
              <w:tab/>
            </w:r>
            <w:r w:rsidRPr="00175E82">
              <w:rPr>
                <w:b/>
                <w:i/>
              </w:rPr>
              <w:t xml:space="preserve">επενδύσεις σε ανανεώσιμες πηγές ενέργειας, στην παραγωγή ενέργειας, στην κατασκευή και συντήρηση </w:t>
            </w:r>
            <w:r w:rsidRPr="00175E82">
              <w:rPr>
                <w:b/>
                <w:i/>
              </w:rPr>
              <w:t>υποδομών, καθώς και στην ανάπτυξη συναφών τεχνολογιών·</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66616F" w:rsidRPr="00175E82">
        <w:rPr>
          <w:rStyle w:val="HideTWBInt"/>
        </w:rPr>
        <w:t>{EN}</w:t>
      </w:r>
      <w:r w:rsidR="0066616F" w:rsidRPr="00175E82">
        <w:t>en</w:t>
      </w:r>
      <w:r w:rsidRPr="00175E82">
        <w:rPr>
          <w:rStyle w:val="HideTWBExt"/>
          <w:rFonts w:eastAsiaTheme="majorEastAsia"/>
          <w:noProof w:val="0"/>
        </w:rPr>
        <w:t>&lt;/Original&gt;</w:t>
      </w:r>
    </w:p>
    <w:p w:rsidR="00B5144E" w:rsidRPr="00175E82" w:rsidRDefault="00271899" w:rsidP="00B5144E">
      <w:r w:rsidRPr="00175E82">
        <w:rPr>
          <w:rStyle w:val="HideTWBExt"/>
          <w:noProof w:val="0"/>
        </w:rPr>
        <w:t>&lt;/Amend&gt;</w:t>
      </w:r>
    </w:p>
    <w:p w:rsidR="00AA40FF"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18</w:t>
      </w:r>
      <w:r w:rsidRPr="00175E82">
        <w:rPr>
          <w:rStyle w:val="HideTWBExt"/>
          <w:b w:val="0"/>
          <w:noProof w:val="0"/>
        </w:rPr>
        <w:t>&lt;/NumAm&gt;</w:t>
      </w:r>
    </w:p>
    <w:p w:rsidR="00AA40FF"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AA40FF" w:rsidRPr="00175E82" w:rsidRDefault="00271899" w:rsidP="000C3448">
      <w:pPr>
        <w:pStyle w:val="NormalBold"/>
        <w:keepNext/>
      </w:pPr>
      <w:r w:rsidRPr="00175E82">
        <w:rPr>
          <w:rStyle w:val="HideTWBExt"/>
          <w:b w:val="0"/>
          <w:noProof w:val="0"/>
        </w:rPr>
        <w:t>&lt;Article&gt;</w:t>
      </w:r>
      <w:r w:rsidRPr="00175E82">
        <w:t>Άρθρο 4 – παράγραφος 2 – εδάφιο 1 – στοιχείο δ</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AA40FF" w:rsidRPr="00175E82" w:rsidRDefault="00AA40FF" w:rsidP="00DA6ED0">
            <w:pPr>
              <w:keepNext/>
            </w:pPr>
          </w:p>
        </w:tc>
      </w:tr>
      <w:tr w:rsidR="00FC0A79" w:rsidRPr="00175E82" w:rsidTr="002669B6">
        <w:trPr>
          <w:jc w:val="center"/>
        </w:trPr>
        <w:tc>
          <w:tcPr>
            <w:tcW w:w="4876" w:type="dxa"/>
          </w:tcPr>
          <w:p w:rsidR="00AA40FF" w:rsidRPr="00175E82" w:rsidRDefault="00271899" w:rsidP="00DA6ED0">
            <w:pPr>
              <w:pStyle w:val="AmColumnHeading"/>
              <w:keepNext/>
            </w:pPr>
            <w:r w:rsidRPr="00175E82">
              <w:t xml:space="preserve">Κείμενο που </w:t>
            </w:r>
            <w:r w:rsidRPr="00175E82">
              <w:t>προτείνει η Επιτροπή</w:t>
            </w:r>
          </w:p>
        </w:tc>
        <w:tc>
          <w:tcPr>
            <w:tcW w:w="4876" w:type="dxa"/>
          </w:tcPr>
          <w:p w:rsidR="00AA40FF"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AA40FF" w:rsidRPr="00175E82" w:rsidRDefault="00271899" w:rsidP="002669B6">
            <w:pPr>
              <w:pStyle w:val="Normal6a"/>
            </w:pPr>
            <w:r w:rsidRPr="00175E82">
              <w:t>δ)</w:t>
            </w:r>
            <w:r w:rsidRPr="00175E82">
              <w:tab/>
              <w:t xml:space="preserve">επενδύσεις στην ανάπτυξη τεχνολογίας και υποδομών για οικονομικά προσιτή καθαρή ενέργεια, στη μείωση των εκπομπών αερίων του θερμοκηπίου, στην ενεργειακή απόδοση </w:t>
            </w:r>
            <w:r w:rsidRPr="00175E82">
              <w:rPr>
                <w:b/>
                <w:i/>
              </w:rPr>
              <w:t>και στις ανανεώσιμες μορφές ενέργειας</w:t>
            </w:r>
            <w:r w:rsidRPr="00175E82">
              <w:t>·</w:t>
            </w:r>
          </w:p>
        </w:tc>
        <w:tc>
          <w:tcPr>
            <w:tcW w:w="4876" w:type="dxa"/>
          </w:tcPr>
          <w:p w:rsidR="00AA40FF" w:rsidRPr="00175E82" w:rsidRDefault="00271899" w:rsidP="00AA40FF">
            <w:pPr>
              <w:pStyle w:val="Normal6a"/>
              <w:rPr>
                <w:szCs w:val="24"/>
              </w:rPr>
            </w:pPr>
            <w:r w:rsidRPr="00175E82">
              <w:t>δ)</w:t>
            </w:r>
            <w:r w:rsidRPr="00175E82">
              <w:tab/>
              <w:t xml:space="preserve">επενδύσεις στην </w:t>
            </w:r>
            <w:r w:rsidRPr="00175E82">
              <w:t>ανάπτυξη τεχνολογίας και υποδομών για οικονομικά προσιτή καθαρή ενέργεια, στη μείωση των εκπομπών αερίων του θερμοκηπίου</w:t>
            </w:r>
            <w:r w:rsidRPr="00175E82">
              <w:rPr>
                <w:b/>
                <w:i/>
              </w:rPr>
              <w:t>, συμπεριλαμβανομένης της ανάπτυξης φιλικών προς το περιβάλλον μέσων μεταφοράς, και</w:t>
            </w:r>
            <w:r w:rsidRPr="00175E82">
              <w:t xml:space="preserve"> στην ενεργειακή απόδοση·</w:t>
            </w:r>
          </w:p>
        </w:tc>
      </w:tr>
    </w:tbl>
    <w:p w:rsidR="00AA40FF"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w:t>
      </w:r>
      <w:r w:rsidRPr="00175E82">
        <w:rPr>
          <w:rStyle w:val="HideTWBExt"/>
          <w:rFonts w:eastAsiaTheme="majorEastAsia"/>
          <w:noProof w:val="0"/>
        </w:rPr>
        <w:t>inal&gt;</w:t>
      </w:r>
    </w:p>
    <w:p w:rsidR="00AA40FF" w:rsidRPr="00175E82" w:rsidRDefault="00271899" w:rsidP="000C3448">
      <w:r w:rsidRPr="00175E82">
        <w:rPr>
          <w:rStyle w:val="HideTWBExt"/>
          <w:noProof w:val="0"/>
        </w:rPr>
        <w:t>&lt;/Amend&gt;</w:t>
      </w:r>
    </w:p>
    <w:p w:rsidR="00AA40FF" w:rsidRPr="00175E82" w:rsidRDefault="00271899" w:rsidP="00AA40FF">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19</w:t>
      </w:r>
      <w:r w:rsidRPr="00175E82">
        <w:rPr>
          <w:rStyle w:val="HideTWBExt"/>
          <w:b w:val="0"/>
          <w:noProof w:val="0"/>
        </w:rPr>
        <w:t>&lt;/NumAm&gt;</w:t>
      </w:r>
    </w:p>
    <w:p w:rsidR="00AA40FF" w:rsidRPr="00175E82" w:rsidRDefault="00271899" w:rsidP="00AA40FF">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AA40FF" w:rsidRPr="00175E82" w:rsidRDefault="00271899" w:rsidP="00AA40FF">
      <w:pPr>
        <w:pStyle w:val="NormalBold"/>
        <w:keepNext/>
      </w:pPr>
      <w:r w:rsidRPr="00175E82">
        <w:rPr>
          <w:rStyle w:val="HideTWBExt"/>
          <w:b w:val="0"/>
          <w:noProof w:val="0"/>
        </w:rPr>
        <w:t>&lt;Article&gt;</w:t>
      </w:r>
      <w:r w:rsidRPr="00175E82">
        <w:t>Άρθρο 4 – παράγραφος 2 – εδάφιο 1 – στοιχείο ε</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AA40FF" w:rsidRPr="00175E82" w:rsidRDefault="00AA40FF" w:rsidP="000C3448">
            <w:pPr>
              <w:keepNext/>
            </w:pPr>
          </w:p>
        </w:tc>
      </w:tr>
      <w:tr w:rsidR="00FC0A79" w:rsidRPr="00175E82" w:rsidTr="000C3448">
        <w:trPr>
          <w:jc w:val="center"/>
        </w:trPr>
        <w:tc>
          <w:tcPr>
            <w:tcW w:w="4876" w:type="dxa"/>
          </w:tcPr>
          <w:p w:rsidR="00AA40FF" w:rsidRPr="00175E82" w:rsidRDefault="00271899" w:rsidP="000C3448">
            <w:pPr>
              <w:pStyle w:val="AmColumnHeading"/>
              <w:keepNext/>
            </w:pPr>
            <w:r w:rsidRPr="00175E82">
              <w:t>Κείμενο που προτείνει η Επιτροπή</w:t>
            </w:r>
          </w:p>
        </w:tc>
        <w:tc>
          <w:tcPr>
            <w:tcW w:w="4876" w:type="dxa"/>
          </w:tcPr>
          <w:p w:rsidR="00AA40FF"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AA40FF" w:rsidRPr="00175E82" w:rsidRDefault="00271899" w:rsidP="000C3448">
            <w:pPr>
              <w:pStyle w:val="Normal6a"/>
            </w:pPr>
            <w:r w:rsidRPr="00175E82">
              <w:t>ε)</w:t>
            </w:r>
            <w:r w:rsidRPr="00175E82">
              <w:tab/>
              <w:t xml:space="preserve">επενδύσεις στην ψηφιοποίηση και την ψηφιακή </w:t>
            </w:r>
            <w:r w:rsidRPr="00175E82">
              <w:t>συνδεσιμότητα·</w:t>
            </w:r>
          </w:p>
        </w:tc>
        <w:tc>
          <w:tcPr>
            <w:tcW w:w="4876" w:type="dxa"/>
          </w:tcPr>
          <w:p w:rsidR="00AA40FF" w:rsidRPr="00175E82" w:rsidRDefault="00271899" w:rsidP="000C3448">
            <w:pPr>
              <w:pStyle w:val="Normal6a"/>
              <w:rPr>
                <w:szCs w:val="24"/>
              </w:rPr>
            </w:pPr>
            <w:r w:rsidRPr="00175E82">
              <w:t>ε)</w:t>
            </w:r>
            <w:r w:rsidRPr="00175E82">
              <w:tab/>
              <w:t>επενδύσεις στην ψηφιοποίηση και την ψηφιακή συνδεσιμότητα</w:t>
            </w:r>
            <w:r w:rsidRPr="00175E82">
              <w:rPr>
                <w:b/>
                <w:i/>
              </w:rPr>
              <w:t>, συμπεριλαμβανομένων της ψηφιακής γεωργίας και της γεωργίας ακριβείας</w:t>
            </w:r>
            <w:r w:rsidRPr="00175E82">
              <w:t>·</w:t>
            </w:r>
          </w:p>
        </w:tc>
      </w:tr>
    </w:tbl>
    <w:p w:rsidR="00AA40FF" w:rsidRPr="00175E82" w:rsidRDefault="00271899" w:rsidP="00AA40FF">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AA40FF" w:rsidRPr="00175E82" w:rsidRDefault="00271899" w:rsidP="00AA40FF">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20</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Άρθρο 4 – παράγραφος 2 – εδάφιο 1 – στοιχείο στ</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στ)</w:t>
            </w:r>
            <w:r w:rsidRPr="00175E82">
              <w:tab/>
              <w:t xml:space="preserve">επενδύσεις </w:t>
            </w:r>
            <w:r w:rsidRPr="00175E82">
              <w:rPr>
                <w:b/>
                <w:i/>
              </w:rPr>
              <w:t>στην αναγέννηση και απορρύπανση εκτάσεων,</w:t>
            </w:r>
            <w:r w:rsidRPr="00175E82">
              <w:t xml:space="preserve"> σε σχέδια αποκατάστασης </w:t>
            </w:r>
            <w:r w:rsidRPr="00175E82">
              <w:rPr>
                <w:b/>
                <w:i/>
              </w:rPr>
              <w:t>του εδάφους και αναπροσαρμογής της χρήσης</w:t>
            </w:r>
            <w:r w:rsidRPr="00175E82">
              <w:t>·</w:t>
            </w:r>
          </w:p>
        </w:tc>
        <w:tc>
          <w:tcPr>
            <w:tcW w:w="4876" w:type="dxa"/>
          </w:tcPr>
          <w:p w:rsidR="00B5144E" w:rsidRPr="00175E82" w:rsidRDefault="00271899" w:rsidP="008D6868">
            <w:pPr>
              <w:pStyle w:val="Normal6a"/>
              <w:rPr>
                <w:szCs w:val="24"/>
              </w:rPr>
            </w:pPr>
            <w:r w:rsidRPr="00175E82">
              <w:t xml:space="preserve">στ) </w:t>
            </w:r>
            <w:r w:rsidRPr="00175E82">
              <w:tab/>
              <w:t>ε</w:t>
            </w:r>
            <w:r w:rsidRPr="00175E82">
              <w:t>πενδύσεις σε σχέδια αποκατάστασης·</w:t>
            </w:r>
          </w:p>
        </w:tc>
      </w:tr>
    </w:tbl>
    <w:p w:rsidR="00B5144E" w:rsidRPr="00175E82" w:rsidRDefault="00271899" w:rsidP="00B5144E">
      <w:pPr>
        <w:pStyle w:val="AmOrLang"/>
      </w:pPr>
      <w:r w:rsidRPr="00175E82">
        <w:t xml:space="preserve">Or. </w:t>
      </w:r>
      <w:r w:rsidRPr="00175E82">
        <w:rPr>
          <w:rStyle w:val="HideTWBExt"/>
          <w:rFonts w:eastAsiaTheme="majorEastAsia"/>
          <w:noProof w:val="0"/>
        </w:rPr>
        <w:t>&lt;Original&gt;</w:t>
      </w:r>
      <w:r w:rsidR="0066616F" w:rsidRPr="00175E82">
        <w:rPr>
          <w:rStyle w:val="HideTWBInt"/>
        </w:rPr>
        <w:t>{EN}</w:t>
      </w:r>
      <w:r w:rsidR="0066616F" w:rsidRPr="00175E82">
        <w:t>en</w:t>
      </w:r>
      <w:r w:rsidRPr="00175E82">
        <w:rPr>
          <w:rStyle w:val="HideTWBExt"/>
          <w:rFonts w:eastAsiaTheme="majorEastAsia"/>
          <w:noProof w:val="0"/>
        </w:rPr>
        <w:t>&lt;/Original&gt;</w:t>
      </w:r>
    </w:p>
    <w:p w:rsidR="00B5144E" w:rsidRPr="00175E82" w:rsidRDefault="00271899" w:rsidP="00B5144E">
      <w:r w:rsidRPr="00175E82">
        <w:rPr>
          <w:rStyle w:val="HideTWBExt"/>
          <w:noProof w:val="0"/>
        </w:rPr>
        <w:t>&lt;/Amend&gt;</w:t>
      </w:r>
    </w:p>
    <w:p w:rsidR="008D6868"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21</w:t>
      </w:r>
      <w:r w:rsidRPr="00175E82">
        <w:rPr>
          <w:rStyle w:val="HideTWBExt"/>
          <w:b w:val="0"/>
          <w:noProof w:val="0"/>
        </w:rPr>
        <w:t>&lt;/NumAm&gt;</w:t>
      </w:r>
    </w:p>
    <w:p w:rsidR="008D6868"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0C3448">
      <w:pPr>
        <w:pStyle w:val="NormalBold"/>
        <w:keepNext/>
      </w:pPr>
      <w:r w:rsidRPr="00175E82">
        <w:rPr>
          <w:rStyle w:val="HideTWBExt"/>
          <w:b w:val="0"/>
          <w:noProof w:val="0"/>
        </w:rPr>
        <w:t>&lt;Article&gt;</w:t>
      </w:r>
      <w:r w:rsidRPr="00175E82">
        <w:t>Άρθρο 4 – παράγραφος 2 – εδάφιο 1 – στοιχείο θ</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8D6868" w:rsidRPr="00175E82" w:rsidRDefault="008D6868" w:rsidP="00DA6ED0">
            <w:pPr>
              <w:keepNext/>
            </w:pPr>
          </w:p>
        </w:tc>
      </w:tr>
      <w:tr w:rsidR="00FC0A79" w:rsidRPr="00175E82" w:rsidTr="002669B6">
        <w:trPr>
          <w:jc w:val="center"/>
        </w:trPr>
        <w:tc>
          <w:tcPr>
            <w:tcW w:w="4876" w:type="dxa"/>
          </w:tcPr>
          <w:p w:rsidR="008D6868" w:rsidRPr="00175E82" w:rsidRDefault="00271899" w:rsidP="00DA6ED0">
            <w:pPr>
              <w:pStyle w:val="AmColumnHeading"/>
              <w:keepNext/>
            </w:pPr>
            <w:r w:rsidRPr="00175E82">
              <w:t>Κείμενο που προτείνει η Επιτροπή</w:t>
            </w:r>
          </w:p>
        </w:tc>
        <w:tc>
          <w:tcPr>
            <w:tcW w:w="4876" w:type="dxa"/>
          </w:tcPr>
          <w:p w:rsidR="008D6868"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8D6868" w:rsidRPr="00175E82" w:rsidRDefault="00271899" w:rsidP="002669B6">
            <w:pPr>
              <w:pStyle w:val="Normal6a"/>
            </w:pPr>
            <w:r w:rsidRPr="00175E82">
              <w:t>θ)</w:t>
            </w:r>
            <w:r w:rsidRPr="00175E82">
              <w:tab/>
              <w:t>συνδρομή για την αναζήτηση εργασίας σε όσους αναζητούν εργασία·</w:t>
            </w:r>
          </w:p>
        </w:tc>
        <w:tc>
          <w:tcPr>
            <w:tcW w:w="4876" w:type="dxa"/>
          </w:tcPr>
          <w:p w:rsidR="008D6868" w:rsidRPr="00175E82" w:rsidRDefault="00271899" w:rsidP="002669B6">
            <w:pPr>
              <w:pStyle w:val="Normal6a"/>
              <w:rPr>
                <w:szCs w:val="24"/>
              </w:rPr>
            </w:pPr>
            <w:r w:rsidRPr="00175E82">
              <w:t>θ)</w:t>
            </w:r>
            <w:r w:rsidRPr="00175E82">
              <w:tab/>
              <w:t xml:space="preserve">συνδρομή για την αναζήτηση εργασίας σε όσους αναζητούν εργασία </w:t>
            </w:r>
            <w:r w:rsidRPr="00175E82">
              <w:rPr>
                <w:b/>
                <w:i/>
              </w:rPr>
              <w:t>και εισοδηματική στήριξη</w:t>
            </w:r>
            <w:r w:rsidRPr="00175E82">
              <w:t>·</w:t>
            </w:r>
          </w:p>
        </w:tc>
      </w:tr>
    </w:tbl>
    <w:p w:rsidR="008D6868"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0C344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22</w:t>
      </w:r>
      <w:r w:rsidRPr="00175E82">
        <w:rPr>
          <w:rStyle w:val="HideTWBExt"/>
          <w:b w:val="0"/>
          <w:noProof w:val="0"/>
        </w:rPr>
        <w:t>&lt;/NumAm&gt;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Άρθρο 4 – παράγραφος 2 – εδάφιο 1 – στοιχείο ι</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pPr>
            <w:r w:rsidRPr="00175E82">
              <w:t>ι)</w:t>
            </w:r>
            <w:r w:rsidRPr="00175E82">
              <w:tab/>
              <w:t>ενεργητική συμπερίληψη των αναζητούντων εργασία·</w:t>
            </w:r>
          </w:p>
        </w:tc>
        <w:tc>
          <w:tcPr>
            <w:tcW w:w="4876" w:type="dxa"/>
          </w:tcPr>
          <w:p w:rsidR="008D6868" w:rsidRPr="00175E82" w:rsidRDefault="00271899" w:rsidP="000C3448">
            <w:pPr>
              <w:pStyle w:val="Normal6a"/>
              <w:rPr>
                <w:szCs w:val="24"/>
              </w:rPr>
            </w:pPr>
            <w:r w:rsidRPr="00175E82">
              <w:t>ι)</w:t>
            </w:r>
            <w:r w:rsidRPr="00175E82">
              <w:tab/>
              <w:t>ενεργητική συμπερίληψη των αναζητούντων εργασία</w:t>
            </w:r>
            <w:r w:rsidRPr="00175E82">
              <w:rPr>
                <w:b/>
                <w:i/>
              </w:rPr>
              <w:t>,</w:t>
            </w:r>
            <w:r w:rsidRPr="00175E82">
              <w:rPr>
                <w:b/>
                <w:i/>
              </w:rPr>
              <w:t xml:space="preserve"> με ιδιαίτερη έμφαση στις γυναίκες</w:t>
            </w:r>
            <w:r w:rsidRPr="00175E82">
              <w:t>·</w:t>
            </w: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23</w:t>
      </w:r>
      <w:r w:rsidRPr="00175E82">
        <w:rPr>
          <w:rStyle w:val="HideTWBExt"/>
          <w:b w:val="0"/>
          <w:noProof w:val="0"/>
        </w:rPr>
        <w:t>&lt;/NumAm&gt;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Άρθρο 4 – παράγραφος 2 – εδάφιο 2</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pPr>
            <w:r w:rsidRPr="00175E82">
              <w:t xml:space="preserve">Επιπλέον, </w:t>
            </w:r>
            <w:r w:rsidRPr="00175E82">
              <w:rPr>
                <w:b/>
                <w:i/>
              </w:rPr>
              <w:t>σε</w:t>
            </w:r>
            <w:r w:rsidRPr="00175E82">
              <w:t xml:space="preserve"> </w:t>
            </w:r>
            <w:r w:rsidRPr="00175E82">
              <w:rPr>
                <w:b/>
                <w:i/>
              </w:rPr>
              <w:t>περιοχές</w:t>
            </w:r>
            <w:r w:rsidRPr="00175E82">
              <w:t xml:space="preserve"> </w:t>
            </w:r>
            <w:r w:rsidRPr="00175E82">
              <w:rPr>
                <w:b/>
                <w:i/>
              </w:rPr>
              <w:t>που χαρακτηρίζονται ενισχυόμενες σύμφωνα με το άρθρο 107 παράγραφος 3 στοιχεία α) και γ) της ΣΛΕΕ</w:t>
            </w:r>
            <w:r w:rsidRPr="00175E82">
              <w:t>, το ΤΔΜ μπορεί να υποστηρίζει παραγωγικές επενδύσεις σε επιχειρήσεις εκτός των ΜΜΕ, με την προϋπόθεση ότι οι εν λόγω επενδύσεις έχουν εγ</w:t>
            </w:r>
            <w:r w:rsidRPr="00175E82">
              <w:t>κριθεί ως μέρος του εδαφικού σχεδίου δίκαιης μετάβασης με βάση τις πληροφορίες που απαιτούνται από το άρθρο 7 παράγραφος 2 στοιχείο η). Οι εν λόγω επενδύσεις είναι επιλέξιμες μόνον εφόσον είναι απαραίτητες για την υλοποίηση του εδαφικού σχεδίου δίκαιης μετ</w:t>
            </w:r>
            <w:r w:rsidRPr="00175E82">
              <w:t>άβασης.</w:t>
            </w:r>
          </w:p>
        </w:tc>
        <w:tc>
          <w:tcPr>
            <w:tcW w:w="4876" w:type="dxa"/>
          </w:tcPr>
          <w:p w:rsidR="008D6868" w:rsidRPr="00175E82" w:rsidRDefault="00271899" w:rsidP="008D6868">
            <w:pPr>
              <w:pStyle w:val="Normal6a"/>
              <w:rPr>
                <w:szCs w:val="24"/>
              </w:rPr>
            </w:pPr>
            <w:r w:rsidRPr="00175E82">
              <w:t xml:space="preserve">Επιπλέον, </w:t>
            </w:r>
            <w:r w:rsidRPr="00175E82">
              <w:rPr>
                <w:b/>
                <w:i/>
              </w:rPr>
              <w:t>στα οικεία εδάφη</w:t>
            </w:r>
            <w:r w:rsidRPr="00175E82">
              <w:t>, το ΤΔΜ μπορεί να υποστηρίζει παραγωγικές επενδύσεις σε επιχειρήσεις εκτός των ΜΜΕ, με την προϋπόθεση ότι οι εν λόγω επενδύσεις έχουν εγκριθεί ως μέρος του εδαφικού σχεδίου δίκαιης μετάβασης με βάση τις πληροφορίες που απ</w:t>
            </w:r>
            <w:r w:rsidRPr="00175E82">
              <w:t>αιτούνται από το άρθρο 7 παράγραφος 2 στοιχείο η). Οι εν λόγω επενδύσεις είναι επιλέξιμες μόνον εφόσον είναι απαραίτητες για την υλοποίηση του εδαφικού σχεδίου δίκαιης μετάβασης.</w:t>
            </w: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24</w:t>
      </w:r>
      <w:r w:rsidRPr="00175E82">
        <w:rPr>
          <w:rStyle w:val="HideTWBExt"/>
          <w:b w:val="0"/>
          <w:noProof w:val="0"/>
        </w:rPr>
        <w:t>&lt;/NumAm</w:t>
      </w:r>
      <w:r w:rsidRPr="00175E82">
        <w:rPr>
          <w:rStyle w:val="HideTWBExt"/>
          <w:b w:val="0"/>
          <w:noProof w:val="0"/>
        </w:rPr>
        <w:t>&gt;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Άρθρο 5 – εδάφιο 1 – στοιχείο γ</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rPr>
                <w:b/>
                <w:i/>
              </w:rPr>
            </w:pPr>
            <w:r w:rsidRPr="00175E82">
              <w:rPr>
                <w:b/>
                <w:i/>
              </w:rPr>
              <w:t>γ)</w:t>
            </w:r>
            <w:r w:rsidRPr="00175E82">
              <w:rPr>
                <w:b/>
                <w:i/>
              </w:rPr>
              <w:tab/>
              <w:t xml:space="preserve">τις προβληματικές επιχειρήσεις, όπως ορίζονται στο άρθρο 2 σημείο 18 του κανονισμού (ΕΕ) αριθ. 651/2014 της </w:t>
            </w:r>
            <w:r w:rsidRPr="00175E82">
              <w:rPr>
                <w:b/>
                <w:i/>
              </w:rPr>
              <w:t>Επιτροπής</w:t>
            </w:r>
            <w:r w:rsidRPr="00175E82">
              <w:rPr>
                <w:b/>
                <w:i/>
                <w:vertAlign w:val="superscript"/>
              </w:rPr>
              <w:t>16</w:t>
            </w:r>
            <w:r w:rsidRPr="00175E82">
              <w:rPr>
                <w:b/>
                <w:i/>
              </w:rPr>
              <w:t>·</w:t>
            </w:r>
          </w:p>
        </w:tc>
        <w:tc>
          <w:tcPr>
            <w:tcW w:w="4876" w:type="dxa"/>
          </w:tcPr>
          <w:p w:rsidR="008D6868" w:rsidRPr="00175E82" w:rsidRDefault="00271899" w:rsidP="000C3448">
            <w:pPr>
              <w:pStyle w:val="Normal6a"/>
              <w:rPr>
                <w:b/>
                <w:i/>
                <w:szCs w:val="24"/>
              </w:rPr>
            </w:pPr>
            <w:r w:rsidRPr="00175E82">
              <w:rPr>
                <w:b/>
                <w:i/>
              </w:rPr>
              <w:t>διαγράφεται</w:t>
            </w:r>
          </w:p>
        </w:tc>
      </w:tr>
      <w:tr w:rsidR="00FC0A79" w:rsidRPr="00175E82" w:rsidTr="003331DB">
        <w:trPr>
          <w:jc w:val="center"/>
        </w:trPr>
        <w:tc>
          <w:tcPr>
            <w:tcW w:w="4876" w:type="dxa"/>
          </w:tcPr>
          <w:p w:rsidR="00F15028" w:rsidRPr="00175E82" w:rsidRDefault="00271899" w:rsidP="003331DB">
            <w:pPr>
              <w:pStyle w:val="Normal6a"/>
              <w:rPr>
                <w:b/>
                <w:i/>
              </w:rPr>
            </w:pPr>
            <w:r w:rsidRPr="00175E82">
              <w:rPr>
                <w:b/>
                <w:i/>
              </w:rPr>
              <w:t>_________________</w:t>
            </w:r>
          </w:p>
        </w:tc>
        <w:tc>
          <w:tcPr>
            <w:tcW w:w="4876" w:type="dxa"/>
          </w:tcPr>
          <w:p w:rsidR="00F15028" w:rsidRPr="00175E82" w:rsidRDefault="00F15028" w:rsidP="003331DB">
            <w:pPr>
              <w:pStyle w:val="Normal6a"/>
              <w:rPr>
                <w:b/>
                <w:i/>
              </w:rPr>
            </w:pPr>
          </w:p>
        </w:tc>
      </w:tr>
      <w:tr w:rsidR="00FC0A79" w:rsidRPr="00175E82" w:rsidTr="003331DB">
        <w:trPr>
          <w:jc w:val="center"/>
        </w:trPr>
        <w:tc>
          <w:tcPr>
            <w:tcW w:w="4876" w:type="dxa"/>
          </w:tcPr>
          <w:p w:rsidR="00F15028" w:rsidRPr="00175E82" w:rsidRDefault="00271899" w:rsidP="003331DB">
            <w:pPr>
              <w:pStyle w:val="Normal6a"/>
              <w:rPr>
                <w:b/>
                <w:i/>
              </w:rPr>
            </w:pPr>
            <w:r w:rsidRPr="00175E82">
              <w:rPr>
                <w:b/>
                <w:i/>
                <w:vertAlign w:val="superscript"/>
              </w:rPr>
              <w:t>16</w:t>
            </w:r>
            <w:r w:rsidRPr="00175E82">
              <w:rPr>
                <w:b/>
                <w:i/>
              </w:rPr>
              <w:t xml:space="preserve"> Κανονισμός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26.6.2014, σ. 1).</w:t>
            </w:r>
          </w:p>
        </w:tc>
        <w:tc>
          <w:tcPr>
            <w:tcW w:w="4876" w:type="dxa"/>
          </w:tcPr>
          <w:p w:rsidR="00F15028" w:rsidRPr="00175E82" w:rsidRDefault="00F15028" w:rsidP="003331DB">
            <w:pPr>
              <w:pStyle w:val="Normal6a"/>
              <w:rPr>
                <w:b/>
                <w:i/>
              </w:rPr>
            </w:pP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25</w:t>
      </w:r>
      <w:r w:rsidRPr="00175E82">
        <w:rPr>
          <w:rStyle w:val="HideTWBExt"/>
          <w:b w:val="0"/>
          <w:noProof w:val="0"/>
        </w:rPr>
        <w:t>&lt;/NumAm&gt;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 xml:space="preserve">Άρθρο 5 – εδάφιο 1 – στοιχείο δ </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rPr>
                <w:b/>
                <w:i/>
              </w:rPr>
            </w:pPr>
            <w:r w:rsidRPr="00175E82">
              <w:rPr>
                <w:b/>
                <w:i/>
              </w:rPr>
              <w:t>δ)</w:t>
            </w:r>
            <w:r w:rsidRPr="00175E82">
              <w:rPr>
                <w:b/>
                <w:i/>
              </w:rPr>
              <w:tab/>
              <w:t xml:space="preserve">επενδύσεις που σχετίζονται με την παραγωγή, την </w:t>
            </w:r>
            <w:r w:rsidRPr="00175E82">
              <w:rPr>
                <w:b/>
                <w:i/>
              </w:rPr>
              <w:t>επεξεργασία, τη διανομή, την αποθήκευση ή την καύση ορυκτών καυσίμων·</w:t>
            </w:r>
          </w:p>
        </w:tc>
        <w:tc>
          <w:tcPr>
            <w:tcW w:w="4876" w:type="dxa"/>
          </w:tcPr>
          <w:p w:rsidR="008D6868" w:rsidRPr="00175E82" w:rsidRDefault="00271899" w:rsidP="000C3448">
            <w:pPr>
              <w:pStyle w:val="Normal6a"/>
              <w:rPr>
                <w:b/>
                <w:i/>
                <w:szCs w:val="24"/>
              </w:rPr>
            </w:pPr>
            <w:r w:rsidRPr="00175E82">
              <w:rPr>
                <w:b/>
                <w:i/>
              </w:rPr>
              <w:t>διαγράφεται</w:t>
            </w: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26</w:t>
      </w:r>
      <w:r w:rsidRPr="00175E82">
        <w:rPr>
          <w:rStyle w:val="HideTWBExt"/>
          <w:b w:val="0"/>
          <w:noProof w:val="0"/>
        </w:rPr>
        <w:t>&lt;/NumAm&gt;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Άρθρο 5 – εδάφιο 1 – στοιχείο ε</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rPr>
                <w:b/>
                <w:i/>
              </w:rPr>
            </w:pPr>
            <w:r w:rsidRPr="00175E82">
              <w:rPr>
                <w:b/>
                <w:i/>
              </w:rPr>
              <w:t>ε)</w:t>
            </w:r>
            <w:r w:rsidRPr="00175E82">
              <w:rPr>
                <w:b/>
                <w:i/>
              </w:rPr>
              <w:tab/>
              <w:t>επενδύσεις σε ευρυζωνικές υποδομές σε περιοχές στις οποίες υπάρχουν τουλάχιστον δύο ευρυζωνικά δίκτυα ισότιμης κατηγορίας.</w:t>
            </w:r>
          </w:p>
        </w:tc>
        <w:tc>
          <w:tcPr>
            <w:tcW w:w="4876" w:type="dxa"/>
          </w:tcPr>
          <w:p w:rsidR="008D6868" w:rsidRPr="00175E82" w:rsidRDefault="00271899" w:rsidP="000C3448">
            <w:pPr>
              <w:pStyle w:val="Normal6a"/>
              <w:rPr>
                <w:b/>
                <w:i/>
                <w:szCs w:val="24"/>
              </w:rPr>
            </w:pPr>
            <w:r w:rsidRPr="00175E82">
              <w:rPr>
                <w:b/>
                <w:i/>
              </w:rPr>
              <w:t>διαγράφεται</w:t>
            </w: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8D6868" w:rsidRPr="00175E82" w:rsidRDefault="00271899" w:rsidP="008D686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27</w:t>
      </w:r>
      <w:r w:rsidRPr="00175E82">
        <w:rPr>
          <w:rStyle w:val="HideTWBExt"/>
          <w:b w:val="0"/>
          <w:noProof w:val="0"/>
        </w:rPr>
        <w:t>&lt;/NumAm&gt;</w:t>
      </w:r>
    </w:p>
    <w:p w:rsidR="008D6868" w:rsidRPr="00175E82" w:rsidRDefault="00271899" w:rsidP="008D686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6868" w:rsidRPr="00175E82" w:rsidRDefault="00271899" w:rsidP="008D6868">
      <w:pPr>
        <w:pStyle w:val="NormalBold"/>
        <w:keepNext/>
      </w:pPr>
      <w:r w:rsidRPr="00175E82">
        <w:rPr>
          <w:rStyle w:val="HideTWBExt"/>
          <w:b w:val="0"/>
          <w:noProof w:val="0"/>
        </w:rPr>
        <w:t>&lt;Article&gt;</w:t>
      </w:r>
      <w:r w:rsidRPr="00175E82">
        <w:t>Άρθρο 6 – παράγραφος 1 – εδάφιο 1</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8D6868" w:rsidRPr="00175E82" w:rsidRDefault="008D6868" w:rsidP="000C3448">
            <w:pPr>
              <w:keepNext/>
            </w:pPr>
          </w:p>
        </w:tc>
      </w:tr>
      <w:tr w:rsidR="00FC0A79" w:rsidRPr="00175E82" w:rsidTr="000C3448">
        <w:trPr>
          <w:jc w:val="center"/>
        </w:trPr>
        <w:tc>
          <w:tcPr>
            <w:tcW w:w="4876" w:type="dxa"/>
          </w:tcPr>
          <w:p w:rsidR="008D6868" w:rsidRPr="00175E82" w:rsidRDefault="00271899" w:rsidP="000C3448">
            <w:pPr>
              <w:pStyle w:val="AmColumnHeading"/>
              <w:keepNext/>
            </w:pPr>
            <w:r w:rsidRPr="00175E82">
              <w:t>Κείμενο που προτείνει η Επιτροπή</w:t>
            </w:r>
          </w:p>
        </w:tc>
        <w:tc>
          <w:tcPr>
            <w:tcW w:w="4876" w:type="dxa"/>
          </w:tcPr>
          <w:p w:rsidR="008D6868"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8D6868" w:rsidRPr="00175E82" w:rsidRDefault="00271899" w:rsidP="000C3448">
            <w:pPr>
              <w:pStyle w:val="Normal6a"/>
            </w:pPr>
            <w:r w:rsidRPr="00175E82">
              <w:t xml:space="preserve">Οι πόροι του ΤΔΜ προγραμματίζονται για τις κατηγορίες περιφερειών στις οποίες βρίσκονται τα οικεία εδάφη, </w:t>
            </w:r>
            <w:r w:rsidRPr="00175E82">
              <w:t>με βάση τα εδαφικά σχέδια δίκαιης μετάβασης που καταρτίζονται σύμφωνα με το άρθρο 7 και εγκρίνονται από την Επιτροπή ως μέρος προγράμματος ή τροποποίησης προγράμματος. Οι πόροι που προγραμματίζονται λαμβάνουν τη μορφή ενός ή περισσότερων ειδικών προγραμμάτ</w:t>
            </w:r>
            <w:r w:rsidRPr="00175E82">
              <w:t>ων ή μίας ή περισσότερων προτεραιοτήτων στο πλαίσιο ενός προγράμματος.</w:t>
            </w:r>
          </w:p>
        </w:tc>
        <w:tc>
          <w:tcPr>
            <w:tcW w:w="4876" w:type="dxa"/>
          </w:tcPr>
          <w:p w:rsidR="008D6868" w:rsidRPr="00175E82" w:rsidRDefault="00271899" w:rsidP="000C3448">
            <w:pPr>
              <w:pStyle w:val="Normal6a"/>
              <w:rPr>
                <w:szCs w:val="24"/>
              </w:rPr>
            </w:pPr>
            <w:r w:rsidRPr="00175E82">
              <w:t>Οι πόροι του ΤΔΜ προγραμματίζονται για τις κατηγορίες περιφερειών στις οποίες βρίσκονται τα οικεία εδάφη, με βάση τα εδαφικά σχέδια δίκαιης μετάβασης που καταρτίζονται σύμφωνα με το άρθ</w:t>
            </w:r>
            <w:r w:rsidRPr="00175E82">
              <w:t xml:space="preserve">ρο 7 και εγκρίνονται από την Επιτροπή ως μέρος προγράμματος ή τροποποίησης προγράμματος. Οι πόροι που προγραμματίζονται λαμβάνουν τη μορφή ενός ή περισσότερων ειδικών προγραμμάτων ή μίας ή περισσότερων προτεραιοτήτων στο πλαίσιο ενός προγράμματος </w:t>
            </w:r>
            <w:r w:rsidRPr="00175E82">
              <w:rPr>
                <w:b/>
                <w:i/>
              </w:rPr>
              <w:t>που καλύπ</w:t>
            </w:r>
            <w:r w:rsidRPr="00175E82">
              <w:rPr>
                <w:b/>
                <w:i/>
              </w:rPr>
              <w:t>τεται από τον κανονισμό (ΕΕ) .../... [νέος ΚΚΔ]</w:t>
            </w:r>
            <w:r w:rsidRPr="00175E82">
              <w:t>.</w:t>
            </w:r>
          </w:p>
        </w:tc>
      </w:tr>
    </w:tbl>
    <w:p w:rsidR="008D6868" w:rsidRPr="00175E82" w:rsidRDefault="00271899" w:rsidP="008D686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6868" w:rsidRPr="00175E82" w:rsidRDefault="00271899" w:rsidP="008D6868">
      <w:r w:rsidRPr="00175E82">
        <w:rPr>
          <w:rStyle w:val="HideTWBExt"/>
          <w:noProof w:val="0"/>
        </w:rPr>
        <w:t>&lt;/Amend&gt;</w:t>
      </w:r>
    </w:p>
    <w:p w:rsidR="00B5144E" w:rsidRPr="00175E82" w:rsidRDefault="00271899" w:rsidP="00B5144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28</w:t>
      </w:r>
      <w:r w:rsidRPr="00175E82">
        <w:rPr>
          <w:rStyle w:val="HideTWBExt"/>
          <w:b w:val="0"/>
          <w:noProof w:val="0"/>
        </w:rPr>
        <w:t>&lt;/NumAm&gt;</w:t>
      </w:r>
    </w:p>
    <w:p w:rsidR="00B5144E" w:rsidRPr="00175E82" w:rsidRDefault="00271899" w:rsidP="00B5144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5144E" w:rsidRPr="00175E82" w:rsidRDefault="00271899" w:rsidP="00B5144E">
      <w:pPr>
        <w:pStyle w:val="NormalBold"/>
        <w:keepNext/>
      </w:pPr>
      <w:r w:rsidRPr="00175E82">
        <w:rPr>
          <w:rStyle w:val="HideTWBExt"/>
          <w:b w:val="0"/>
          <w:noProof w:val="0"/>
        </w:rPr>
        <w:t>&lt;Article&gt;</w:t>
      </w:r>
      <w:r w:rsidRPr="00175E82">
        <w:t>Άρθρο 6 – παράγραφος 1 – εδάφιο 2</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66616F">
        <w:trPr>
          <w:jc w:val="center"/>
        </w:trPr>
        <w:tc>
          <w:tcPr>
            <w:tcW w:w="9752" w:type="dxa"/>
            <w:gridSpan w:val="2"/>
          </w:tcPr>
          <w:p w:rsidR="00B5144E" w:rsidRPr="00175E82" w:rsidRDefault="00B5144E" w:rsidP="0066616F">
            <w:pPr>
              <w:keepNext/>
            </w:pPr>
          </w:p>
        </w:tc>
      </w:tr>
      <w:tr w:rsidR="00FC0A79" w:rsidRPr="00175E82" w:rsidTr="0066616F">
        <w:trPr>
          <w:jc w:val="center"/>
        </w:trPr>
        <w:tc>
          <w:tcPr>
            <w:tcW w:w="4876" w:type="dxa"/>
          </w:tcPr>
          <w:p w:rsidR="00B5144E" w:rsidRPr="00175E82" w:rsidRDefault="00271899" w:rsidP="0066616F">
            <w:pPr>
              <w:pStyle w:val="AmColumnHeading"/>
              <w:keepNext/>
            </w:pPr>
            <w:r w:rsidRPr="00175E82">
              <w:t>Κείμενο που προτείνει η Επιτροπή</w:t>
            </w:r>
          </w:p>
        </w:tc>
        <w:tc>
          <w:tcPr>
            <w:tcW w:w="4876" w:type="dxa"/>
          </w:tcPr>
          <w:p w:rsidR="00B5144E" w:rsidRPr="00175E82" w:rsidRDefault="00271899" w:rsidP="0066616F">
            <w:pPr>
              <w:pStyle w:val="AmColumnHeading"/>
              <w:keepNext/>
            </w:pPr>
            <w:r w:rsidRPr="00175E82">
              <w:t>Τροπολογία</w:t>
            </w:r>
          </w:p>
        </w:tc>
      </w:tr>
      <w:tr w:rsidR="00FC0A79" w:rsidRPr="00175E82" w:rsidTr="0066616F">
        <w:trPr>
          <w:jc w:val="center"/>
        </w:trPr>
        <w:tc>
          <w:tcPr>
            <w:tcW w:w="4876" w:type="dxa"/>
          </w:tcPr>
          <w:p w:rsidR="00B5144E" w:rsidRPr="00175E82" w:rsidRDefault="00271899" w:rsidP="0066616F">
            <w:pPr>
              <w:pStyle w:val="Normal6a"/>
            </w:pPr>
            <w:r w:rsidRPr="00175E82">
              <w:t xml:space="preserve">Η Επιτροπή εγκρίνει πρόγραμμα </w:t>
            </w:r>
            <w:r w:rsidRPr="00175E82">
              <w:rPr>
                <w:b/>
                <w:i/>
              </w:rPr>
              <w:t>μόνον</w:t>
            </w:r>
            <w:r w:rsidRPr="00175E82">
              <w:t xml:space="preserve"> όταν </w:t>
            </w:r>
            <w:r w:rsidRPr="00175E82">
              <w:rPr>
                <w:b/>
                <w:i/>
              </w:rPr>
              <w:t>η ταυτοποίηση των</w:t>
            </w:r>
            <w:r w:rsidRPr="00175E82">
              <w:t xml:space="preserve"> </w:t>
            </w:r>
            <w:r w:rsidRPr="00175E82">
              <w:rPr>
                <w:b/>
              </w:rPr>
              <w:t>εδαφών</w:t>
            </w:r>
            <w:r w:rsidRPr="00175E82">
              <w:t xml:space="preserve"> που επηρεάζονται αρνητικά σε μεγαλύτερο βαθμό από τη διαδικασία μετάβασης</w:t>
            </w:r>
            <w:r w:rsidRPr="00175E82">
              <w:rPr>
                <w:b/>
                <w:i/>
              </w:rPr>
              <w:t>, τα οποία περιλαμβάνονται</w:t>
            </w:r>
            <w:r w:rsidRPr="00175E82">
              <w:t xml:space="preserve"> στο οικείο εδαφικό σχέδιο δίκαιης μετάβασης, </w:t>
            </w:r>
            <w:r w:rsidRPr="00175E82">
              <w:rPr>
                <w:b/>
                <w:i/>
              </w:rPr>
              <w:t>αιτιολογείται δεόντως</w:t>
            </w:r>
            <w:r w:rsidRPr="00175E82">
              <w:t xml:space="preserve"> και το οικε</w:t>
            </w:r>
            <w:r w:rsidRPr="00175E82">
              <w:t>ίο εδαφικό σχέδιο δίκαιης μετάβασης συνάδει με το εθνικό σχέδιο του ενδιαφερόμενου κράτους μέλους για την ενέργεια και το κλίμα.</w:t>
            </w:r>
          </w:p>
        </w:tc>
        <w:tc>
          <w:tcPr>
            <w:tcW w:w="4876" w:type="dxa"/>
          </w:tcPr>
          <w:p w:rsidR="00B5144E" w:rsidRPr="00175E82" w:rsidRDefault="00271899" w:rsidP="006C1EF8">
            <w:pPr>
              <w:pStyle w:val="Normal6a"/>
              <w:rPr>
                <w:szCs w:val="24"/>
              </w:rPr>
            </w:pPr>
            <w:r w:rsidRPr="00175E82">
              <w:t xml:space="preserve">Η Επιτροπή εγκρίνει πρόγραμμα όταν </w:t>
            </w:r>
            <w:r w:rsidRPr="00175E82">
              <w:rPr>
                <w:b/>
                <w:i/>
              </w:rPr>
              <w:t>τα εδάφη</w:t>
            </w:r>
            <w:r w:rsidRPr="00175E82">
              <w:t xml:space="preserve"> που επηρεάζονται αρνητικά σε μεγαλύτερο βαθμό από τη διαδικασία μετάβασης </w:t>
            </w:r>
            <w:r w:rsidRPr="00175E82">
              <w:rPr>
                <w:b/>
                <w:i/>
              </w:rPr>
              <w:t>προσδιορί</w:t>
            </w:r>
            <w:r w:rsidRPr="00175E82">
              <w:rPr>
                <w:b/>
                <w:i/>
              </w:rPr>
              <w:t>ζονται</w:t>
            </w:r>
            <w:r w:rsidRPr="00175E82">
              <w:t xml:space="preserve"> στο οικείο εδαφικό σχέδιο δίκαιης μετάβασης, και το οικείο εδαφικό σχέδιο δίκαιης μετάβασης συνάδει με το εθνικό σχέδιο του ενδιαφερόμενου κράτους μέλους για την ενέργεια και το κλίμα</w:t>
            </w:r>
            <w:r w:rsidRPr="00175E82">
              <w:rPr>
                <w:b/>
                <w:i/>
              </w:rPr>
              <w:t>, εκτός εάν μπορεί να αιτιολογήσει δεόντως την άρνηση έγκρισης.</w:t>
            </w:r>
          </w:p>
        </w:tc>
      </w:tr>
    </w:tbl>
    <w:p w:rsidR="00B5144E" w:rsidRPr="00175E82" w:rsidRDefault="00271899" w:rsidP="00B5144E">
      <w:pPr>
        <w:pStyle w:val="AmOrLang"/>
      </w:pPr>
      <w:r w:rsidRPr="00175E82">
        <w:t>O</w:t>
      </w:r>
      <w:r w:rsidRPr="00175E82">
        <w:t xml:space="preserve">r. </w:t>
      </w:r>
      <w:r w:rsidRPr="00175E82">
        <w:rPr>
          <w:rStyle w:val="HideTWBExt"/>
          <w:rFonts w:eastAsiaTheme="majorEastAsia"/>
          <w:noProof w:val="0"/>
        </w:rPr>
        <w:t>&lt;Original&gt;</w:t>
      </w:r>
      <w:r w:rsidR="0066616F" w:rsidRPr="00175E82">
        <w:rPr>
          <w:rStyle w:val="HideTWBInt"/>
        </w:rPr>
        <w:t>{EN}</w:t>
      </w:r>
      <w:r w:rsidR="0066616F" w:rsidRPr="00175E82">
        <w:t>en</w:t>
      </w:r>
      <w:r w:rsidRPr="00175E82">
        <w:rPr>
          <w:rStyle w:val="HideTWBExt"/>
          <w:rFonts w:eastAsiaTheme="majorEastAsia"/>
          <w:noProof w:val="0"/>
        </w:rPr>
        <w:t>&lt;/Original&gt;</w:t>
      </w:r>
    </w:p>
    <w:p w:rsidR="00B5144E" w:rsidRPr="00175E82" w:rsidRDefault="00271899" w:rsidP="00B5144E">
      <w:r w:rsidRPr="00175E82">
        <w:rPr>
          <w:rStyle w:val="HideTWBExt"/>
          <w:noProof w:val="0"/>
        </w:rPr>
        <w:t>&lt;/Amend&gt;</w:t>
      </w:r>
    </w:p>
    <w:p w:rsidR="0066616F" w:rsidRPr="00175E82" w:rsidRDefault="00271899" w:rsidP="0066616F">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29</w:t>
      </w:r>
      <w:r w:rsidRPr="00175E82">
        <w:rPr>
          <w:rStyle w:val="HideTWBExt"/>
          <w:b w:val="0"/>
          <w:noProof w:val="0"/>
        </w:rPr>
        <w:t>&lt;/NumAm&gt;</w:t>
      </w:r>
    </w:p>
    <w:p w:rsidR="0066616F" w:rsidRPr="00175E82" w:rsidRDefault="00271899" w:rsidP="0066616F">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66616F" w:rsidRPr="00175E82" w:rsidRDefault="00271899" w:rsidP="0066616F">
      <w:pPr>
        <w:pStyle w:val="NormalBold"/>
        <w:keepNext/>
      </w:pPr>
      <w:r w:rsidRPr="00175E82">
        <w:rPr>
          <w:rStyle w:val="HideTWBExt"/>
          <w:b w:val="0"/>
          <w:noProof w:val="0"/>
        </w:rPr>
        <w:t>&lt;Article&gt;</w:t>
      </w:r>
      <w:r w:rsidRPr="00175E82">
        <w:t>Άρθρο 3 – παράγραφος 2</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66616F" w:rsidRPr="00175E82" w:rsidRDefault="0066616F" w:rsidP="00DA6ED0">
            <w:pPr>
              <w:keepNext/>
            </w:pPr>
          </w:p>
        </w:tc>
      </w:tr>
      <w:tr w:rsidR="00FC0A79" w:rsidRPr="00175E82" w:rsidTr="002669B6">
        <w:trPr>
          <w:jc w:val="center"/>
        </w:trPr>
        <w:tc>
          <w:tcPr>
            <w:tcW w:w="4876" w:type="dxa"/>
          </w:tcPr>
          <w:p w:rsidR="0066616F" w:rsidRPr="00175E82" w:rsidRDefault="00271899" w:rsidP="00DA6ED0">
            <w:pPr>
              <w:pStyle w:val="AmColumnHeading"/>
              <w:keepNext/>
            </w:pPr>
            <w:r w:rsidRPr="00175E82">
              <w:t>Κείμενο που προτείνει η Επιτροπή</w:t>
            </w:r>
          </w:p>
        </w:tc>
        <w:tc>
          <w:tcPr>
            <w:tcW w:w="4876" w:type="dxa"/>
          </w:tcPr>
          <w:p w:rsidR="0066616F"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66616F" w:rsidRPr="00175E82" w:rsidRDefault="00271899" w:rsidP="002669B6">
            <w:pPr>
              <w:pStyle w:val="Normal6a"/>
            </w:pPr>
            <w:r w:rsidRPr="00175E82">
              <w:t>2.</w:t>
            </w:r>
            <w:r w:rsidRPr="00175E82">
              <w:tab/>
            </w:r>
            <w:r w:rsidRPr="00175E82">
              <w:t xml:space="preserve">Η προτεραιότητα ή προτεραιότητες του ΤΔΜ περιλαμβάνει/-ουν τους πόρους του ΤΔΜ που αποτελούνται από το σύνολο ή μέρος των κονδυλίων του ΤΔΜ για τα κράτη μέλη </w:t>
            </w:r>
            <w:r w:rsidRPr="00175E82">
              <w:rPr>
                <w:b/>
                <w:i/>
              </w:rPr>
              <w:t>και τους πόρους που μεταφέρονται σύμφωνα με το άρθρο [21α] του κανονισμού (ΕΕ) [νέος ΚΚΔ]</w:t>
            </w:r>
            <w:r w:rsidRPr="00175E82">
              <w:t xml:space="preserve">. </w:t>
            </w:r>
            <w:r w:rsidRPr="00175E82">
              <w:rPr>
                <w:b/>
                <w:i/>
              </w:rPr>
              <w:t xml:space="preserve">Το </w:t>
            </w:r>
            <w:r w:rsidRPr="00175E82">
              <w:rPr>
                <w:b/>
                <w:i/>
              </w:rPr>
              <w:t>σύνολο των πόρων του ΕΤΠΑ και του ΕΚΤ+ που μεταφέρονται στην προτεραιότητα του ΤΔΜ είναι τουλάχιστον μιάμιση φορά το ποσό της υποστήριξης του ΤΔΜ στην προτεραιότητα αυτή, αλλά δεν υπερβαίνει το τριπλάσιο ποσό της εν λόγω υποστήριξης.</w:t>
            </w:r>
          </w:p>
        </w:tc>
        <w:tc>
          <w:tcPr>
            <w:tcW w:w="4876" w:type="dxa"/>
          </w:tcPr>
          <w:p w:rsidR="0066616F" w:rsidRPr="00175E82" w:rsidRDefault="00271899" w:rsidP="006C1EF8">
            <w:pPr>
              <w:pStyle w:val="Normal6a"/>
              <w:rPr>
                <w:szCs w:val="24"/>
              </w:rPr>
            </w:pPr>
            <w:r w:rsidRPr="00175E82">
              <w:t>2.</w:t>
            </w:r>
            <w:r w:rsidRPr="00175E82">
              <w:tab/>
              <w:t>Η προτεραιότητα ή π</w:t>
            </w:r>
            <w:r w:rsidRPr="00175E82">
              <w:t>ροτεραιότητες του ΤΔΜ περιλαμβάνει/-ουν τους πόρους του ΤΔΜ που αποτελούνται από το σύνολο ή μέρος των κονδυλίων του ΤΔΜ για τα κράτη μέλη.</w:t>
            </w:r>
          </w:p>
        </w:tc>
      </w:tr>
    </w:tbl>
    <w:p w:rsidR="0066616F" w:rsidRPr="00175E82" w:rsidRDefault="00271899" w:rsidP="0066616F">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66616F" w:rsidRPr="00175E82" w:rsidRDefault="00271899" w:rsidP="0066616F">
      <w:r w:rsidRPr="00175E82">
        <w:rPr>
          <w:rStyle w:val="HideTWBExt"/>
          <w:noProof w:val="0"/>
        </w:rPr>
        <w:t>&lt;/Amend&gt;</w:t>
      </w:r>
    </w:p>
    <w:p w:rsidR="00374C42"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30</w:t>
      </w:r>
      <w:r w:rsidRPr="00175E82">
        <w:rPr>
          <w:rStyle w:val="HideTWBExt"/>
          <w:b w:val="0"/>
          <w:noProof w:val="0"/>
        </w:rPr>
        <w:t>&lt;/NumAm&gt;</w:t>
      </w:r>
    </w:p>
    <w:p w:rsidR="00374C42"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374C42" w:rsidRPr="00175E82" w:rsidRDefault="00271899" w:rsidP="00D050EE">
      <w:pPr>
        <w:pStyle w:val="NormalBold"/>
        <w:keepNext/>
      </w:pPr>
      <w:r w:rsidRPr="00175E82">
        <w:rPr>
          <w:rStyle w:val="HideTWBExt"/>
          <w:b w:val="0"/>
          <w:noProof w:val="0"/>
        </w:rPr>
        <w:t>&lt;Article&gt;</w:t>
      </w:r>
      <w:r w:rsidRPr="00175E82">
        <w:t>Άρθρο 7 – παράγραφος 1</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374C42" w:rsidRPr="00175E82" w:rsidRDefault="00374C42" w:rsidP="00DA6ED0">
            <w:pPr>
              <w:keepNext/>
            </w:pPr>
          </w:p>
        </w:tc>
      </w:tr>
      <w:tr w:rsidR="00FC0A79" w:rsidRPr="00175E82" w:rsidTr="002669B6">
        <w:trPr>
          <w:jc w:val="center"/>
        </w:trPr>
        <w:tc>
          <w:tcPr>
            <w:tcW w:w="4876" w:type="dxa"/>
          </w:tcPr>
          <w:p w:rsidR="00374C42" w:rsidRPr="00175E82" w:rsidRDefault="00271899" w:rsidP="00DA6ED0">
            <w:pPr>
              <w:pStyle w:val="AmColumnHeading"/>
              <w:keepNext/>
            </w:pPr>
            <w:r w:rsidRPr="00175E82">
              <w:t>Κείμενο που προτείνει η Επιτροπή</w:t>
            </w:r>
          </w:p>
        </w:tc>
        <w:tc>
          <w:tcPr>
            <w:tcW w:w="4876" w:type="dxa"/>
          </w:tcPr>
          <w:p w:rsidR="00374C42"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374C42" w:rsidRPr="00175E82" w:rsidRDefault="00271899" w:rsidP="00374C42">
            <w:pPr>
              <w:pStyle w:val="Normal6a"/>
            </w:pPr>
            <w:r w:rsidRPr="00175E82">
              <w:t>1.</w:t>
            </w:r>
            <w:r w:rsidRPr="00175E82">
              <w:tab/>
              <w:t>Τα κράτη μέλη καταρτίζουν, μαζί με τις αρμόδιες αρχές των οικείων εδαφών, ένα ή περισσότερα εδαφικά σχέδια δίκαιης μετάβασης που καλύπτουν ένα ή περισσό</w:t>
            </w:r>
            <w:r w:rsidRPr="00175E82">
              <w:t>τερα επηρεαζόμενα εδάφη τα οποία αντιστοιχούν στις εδαφικές μονάδες επιπέδου 3 της κοινής ονοματολογίας των εδαφικών στατιστικών μονάδων («περιφέρειες επιπέδου NUTS 3»), η οποία θεσπίστηκε με τον κανονισμό (ΕΚ) αριθ. 1059/2003 του Ευρωπαϊκού Κοινοβουλίου κ</w:t>
            </w:r>
            <w:r w:rsidRPr="00175E82">
              <w:t>αι του Συμβουλίου, όπως τροποποιήθηκε με τον κανονισμό (ΕΚ) αριθ. 868/2014 της Επιτροπής</w:t>
            </w:r>
            <w:r w:rsidRPr="00175E82">
              <w:rPr>
                <w:vertAlign w:val="superscript"/>
              </w:rPr>
              <w:t>17</w:t>
            </w:r>
            <w:r w:rsidRPr="00175E82">
              <w:t>, ή σε μέρη αυτών, σύμφωνα με το υπόδειγμα που παρουσιάζεται στο παράρτημα ΙΙ. Τα εν λόγω εδάφη είναι εκείνα που επηρεάζονται αρνητικά σε μεγαλύτερο βαθμό με βάση τις</w:t>
            </w:r>
            <w:r w:rsidRPr="00175E82">
              <w:t xml:space="preserve"> οικονομικές και κοινωνικές επιπτώσεις που απορρέουν από τη μετάβαση, ιδίως με βάση τις αναμενόμενες απώλειες θέσεων εργασίας στην παραγωγή και χρήση ορυκτών καυσίμων και τις ανάγκες μετασχηματισμού των παραγωγικών διεργασιών βιομηχανικών εγκαταστάσεων με </w:t>
            </w:r>
            <w:r w:rsidRPr="00175E82">
              <w:t>τη μεγαλύτερη ένταση εκπομπών αερίων του θερμοκηπίου.</w:t>
            </w:r>
          </w:p>
        </w:tc>
        <w:tc>
          <w:tcPr>
            <w:tcW w:w="4876" w:type="dxa"/>
          </w:tcPr>
          <w:p w:rsidR="00374C42" w:rsidRPr="00175E82" w:rsidRDefault="00271899" w:rsidP="006C1EF8">
            <w:pPr>
              <w:pStyle w:val="Normal6a"/>
              <w:rPr>
                <w:szCs w:val="24"/>
              </w:rPr>
            </w:pPr>
            <w:r w:rsidRPr="00175E82">
              <w:t>1.</w:t>
            </w:r>
            <w:r w:rsidRPr="00175E82">
              <w:tab/>
              <w:t xml:space="preserve">Τα κράτη μέλη καταρτίζουν, μαζί με τις αρμόδιες </w:t>
            </w:r>
            <w:r w:rsidRPr="00175E82">
              <w:rPr>
                <w:b/>
                <w:i/>
              </w:rPr>
              <w:t>τοπικές και περιφερειακές</w:t>
            </w:r>
            <w:r w:rsidRPr="00175E82">
              <w:t xml:space="preserve"> αρχές των οικείων εδαφών, ένα ή περισσότερα εδαφικά σχέδια δίκαιης μετάβασης που καλύπτουν ένα ή περισσότερα επηρεαζόμενα εδά</w:t>
            </w:r>
            <w:r w:rsidRPr="00175E82">
              <w:t>φη τα οποία αντιστοιχούν στις εδαφικές μονάδες επιπέδου 3 της κοινής ονοματολογίας των εδαφικών στατιστικών μονάδων («περιφέρειες επιπέδου NUTS 3»), η οποία θεσπίστηκε με τον κανονισμό (ΕΚ) αριθ. 1059/2003 του Ευρωπαϊκού Κοινοβουλίου και του Συμβουλίου, όπ</w:t>
            </w:r>
            <w:r w:rsidRPr="00175E82">
              <w:t>ως τροποποιήθηκε με τον κανονισμό (ΕΚ) αριθ. 868/2014 της Επιτροπής</w:t>
            </w:r>
            <w:r w:rsidRPr="00175E82">
              <w:rPr>
                <w:vertAlign w:val="superscript"/>
              </w:rPr>
              <w:t>17</w:t>
            </w:r>
            <w:r w:rsidRPr="00175E82">
              <w:t>, ή σε μέρη αυτών, σύμφωνα με το υπόδειγμα που παρουσιάζεται στο παράρτημα ΙΙ. Τα εν λόγω εδάφη είναι εκείνα που επηρεάζονται αρνητικά σε μεγαλύτερο βαθμό με βάση τις οικονομικές και κοιν</w:t>
            </w:r>
            <w:r w:rsidRPr="00175E82">
              <w:t xml:space="preserve">ωνικές επιπτώσεις που απορρέουν από τη μετάβαση, ιδίως με βάση τις αναμενόμενες απώλειες θέσεων εργασίας στην παραγωγή και χρήση ορυκτών καυσίμων και τις ανάγκες μετασχηματισμού των παραγωγικών διεργασιών βιομηχανικών εγκαταστάσεων με τη μεγαλύτερη ένταση </w:t>
            </w:r>
            <w:r w:rsidRPr="00175E82">
              <w:t>εκπομπών αερίων του θερμοκηπίου.</w:t>
            </w:r>
          </w:p>
        </w:tc>
      </w:tr>
      <w:tr w:rsidR="00FC0A79" w:rsidRPr="00175E82" w:rsidTr="003331DB">
        <w:trPr>
          <w:jc w:val="center"/>
        </w:trPr>
        <w:tc>
          <w:tcPr>
            <w:tcW w:w="4876" w:type="dxa"/>
          </w:tcPr>
          <w:p w:rsidR="00F15028" w:rsidRPr="00175E82" w:rsidRDefault="00271899" w:rsidP="003331DB">
            <w:pPr>
              <w:pStyle w:val="Normal6a"/>
            </w:pPr>
            <w:r w:rsidRPr="00175E82">
              <w:t>____________________</w:t>
            </w:r>
          </w:p>
        </w:tc>
        <w:tc>
          <w:tcPr>
            <w:tcW w:w="4876" w:type="dxa"/>
          </w:tcPr>
          <w:p w:rsidR="00F15028" w:rsidRPr="00175E82" w:rsidRDefault="00271899" w:rsidP="003331DB">
            <w:pPr>
              <w:pStyle w:val="Normal6a"/>
            </w:pPr>
            <w:r w:rsidRPr="00175E82">
              <w:t>__________________</w:t>
            </w:r>
          </w:p>
        </w:tc>
      </w:tr>
      <w:tr w:rsidR="00FC0A79" w:rsidRPr="00175E82" w:rsidTr="003331DB">
        <w:trPr>
          <w:jc w:val="center"/>
        </w:trPr>
        <w:tc>
          <w:tcPr>
            <w:tcW w:w="4876" w:type="dxa"/>
          </w:tcPr>
          <w:p w:rsidR="00F15028" w:rsidRPr="00175E82" w:rsidRDefault="00271899" w:rsidP="003331DB">
            <w:pPr>
              <w:pStyle w:val="Normal6a"/>
            </w:pPr>
            <w:r w:rsidRPr="00175E82">
              <w:rPr>
                <w:vertAlign w:val="superscript"/>
              </w:rPr>
              <w:t>17</w:t>
            </w:r>
            <w:r w:rsidRPr="00175E82">
              <w:t xml:space="preserve"> Κανονισμός (ΕΚ) αριθ. 1059/2003 του Ευρωπαϊκού Κοινοβουλίου και του Συμβουλίου, της 26ης Μαΐου 2003, για τη θέσπιση μιας κοινής ονοματολογίας των εδαφικών στατιστικών μονάδων (NUTS) (ΕΕ L 154 της 21.6.2003, σ. 1).</w:t>
            </w:r>
          </w:p>
        </w:tc>
        <w:tc>
          <w:tcPr>
            <w:tcW w:w="4876" w:type="dxa"/>
          </w:tcPr>
          <w:p w:rsidR="00F15028" w:rsidRPr="00175E82" w:rsidRDefault="00271899" w:rsidP="003331DB">
            <w:pPr>
              <w:pStyle w:val="Normal6a"/>
            </w:pPr>
            <w:r w:rsidRPr="00175E82">
              <w:rPr>
                <w:vertAlign w:val="superscript"/>
              </w:rPr>
              <w:t>17</w:t>
            </w:r>
            <w:r w:rsidRPr="00175E82">
              <w:t xml:space="preserve"> Κανονισμός (ΕΚ) αριθ. 1059/2003 του Ευ</w:t>
            </w:r>
            <w:r w:rsidRPr="00175E82">
              <w:t>ρωπαϊκού Κοινοβουλίου και του Συμβουλίου, της 26ης Μαΐου 2003, για τη θέσπιση μιας κοινής ονοματολογίας των εδαφικών στατιστικών μονάδων (NUTS) (ΕΕ L 154 της 21.6.2003, σ. 1).</w:t>
            </w:r>
          </w:p>
        </w:tc>
      </w:tr>
    </w:tbl>
    <w:p w:rsidR="00374C42"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374C42" w:rsidRPr="00175E82" w:rsidRDefault="00271899" w:rsidP="00D050EE">
      <w:r w:rsidRPr="00175E82">
        <w:rPr>
          <w:rStyle w:val="HideTWBExt"/>
          <w:noProof w:val="0"/>
        </w:rPr>
        <w:t>&lt;/Amend&gt;</w:t>
      </w:r>
    </w:p>
    <w:p w:rsidR="00374C42"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31</w:t>
      </w:r>
      <w:r w:rsidRPr="00175E82">
        <w:rPr>
          <w:rStyle w:val="HideTWBExt"/>
          <w:b w:val="0"/>
          <w:noProof w:val="0"/>
        </w:rPr>
        <w:t>&lt;/NumAm&gt;</w:t>
      </w:r>
    </w:p>
    <w:p w:rsidR="00374C42"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374C42" w:rsidRPr="00175E82" w:rsidRDefault="00271899" w:rsidP="00D050EE">
      <w:pPr>
        <w:pStyle w:val="NormalBold"/>
        <w:keepNext/>
      </w:pPr>
      <w:r w:rsidRPr="00175E82">
        <w:rPr>
          <w:rStyle w:val="HideTWBExt"/>
          <w:b w:val="0"/>
          <w:noProof w:val="0"/>
        </w:rPr>
        <w:t>&lt;Article&gt;</w:t>
      </w:r>
      <w:r w:rsidRPr="00175E82">
        <w:t>Άρθρο 7 – παράγραφος 2 – στοιχείο γ</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374C42" w:rsidRPr="00175E82" w:rsidRDefault="00374C42" w:rsidP="00DA6ED0">
            <w:pPr>
              <w:keepNext/>
            </w:pPr>
          </w:p>
        </w:tc>
      </w:tr>
      <w:tr w:rsidR="00FC0A79" w:rsidRPr="00175E82" w:rsidTr="002669B6">
        <w:trPr>
          <w:jc w:val="center"/>
        </w:trPr>
        <w:tc>
          <w:tcPr>
            <w:tcW w:w="4876" w:type="dxa"/>
          </w:tcPr>
          <w:p w:rsidR="00374C42" w:rsidRPr="00175E82" w:rsidRDefault="00271899" w:rsidP="00DA6ED0">
            <w:pPr>
              <w:pStyle w:val="AmColumnHeading"/>
              <w:keepNext/>
            </w:pPr>
            <w:r w:rsidRPr="00175E82">
              <w:t>Κείμενο που προτείνει η Επιτροπή</w:t>
            </w:r>
          </w:p>
        </w:tc>
        <w:tc>
          <w:tcPr>
            <w:tcW w:w="4876" w:type="dxa"/>
          </w:tcPr>
          <w:p w:rsidR="00374C42"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374C42" w:rsidRPr="00175E82" w:rsidRDefault="00271899" w:rsidP="002669B6">
            <w:pPr>
              <w:pStyle w:val="Normal6a"/>
            </w:pPr>
            <w:r w:rsidRPr="00175E82">
              <w:t>γ)</w:t>
            </w:r>
            <w:r w:rsidRPr="00175E82">
              <w:tab/>
            </w:r>
            <w:r w:rsidRPr="00175E82">
              <w:t>αξιολόγηση των προβλημάτων μετάβασης που αντιμετωπίζουν τα εδάφη που επηρεάζονται αρνητικά σε μεγαλύτερο βαθμό, καθώς και αξιολόγηση των κοινωνικών, οικονομικών και περιβαλλοντικών επιπτώσεων της μετάβασης προς μια κλιματικά ουδέτερη οικονομία, με προσδιορ</w:t>
            </w:r>
            <w:r w:rsidRPr="00175E82">
              <w:t>ισμό του δυνητικού αριθμού των θέσεων εργασίας που επηρεάζονται και των θέσεων εργασίας που χάνονται, των αναπτυξιακών αναγκών και των στόχων που πρέπει να επιτευχθούν έως το 2030 σε σύνδεση με τον μετασχηματισμό ή τη διακοπή των δραστηριοτήτων έντασης εκπ</w:t>
            </w:r>
            <w:r w:rsidRPr="00175E82">
              <w:t>ομπών αερίων του θερμοκηπίου στα εν λόγω εδάφη·</w:t>
            </w:r>
          </w:p>
        </w:tc>
        <w:tc>
          <w:tcPr>
            <w:tcW w:w="4876" w:type="dxa"/>
          </w:tcPr>
          <w:p w:rsidR="00374C42" w:rsidRPr="00175E82" w:rsidRDefault="00271899" w:rsidP="002669B6">
            <w:pPr>
              <w:pStyle w:val="Normal6a"/>
              <w:rPr>
                <w:szCs w:val="24"/>
              </w:rPr>
            </w:pPr>
            <w:r w:rsidRPr="00175E82">
              <w:t>γ)</w:t>
            </w:r>
            <w:r w:rsidRPr="00175E82">
              <w:tab/>
              <w:t>αξιολόγηση των προβλημάτων μετάβασης που αντιμετωπίζουν τα εδάφη που επηρεάζονται αρνητικά σε μεγαλύτερο βαθμό, καθώς και αξιολόγηση των κοινωνικών, οικονομικών και περιβαλλοντικών επιπτώσεων της μετάβασης</w:t>
            </w:r>
            <w:r w:rsidRPr="00175E82">
              <w:t xml:space="preserve"> προς μια κλιματικά ουδέτερη οικονομία, με προσδιορισμό του δυνητικού αριθμού των θέσεων εργασίας που επηρεάζονται και των θέσεων εργασίας που χάνονται, </w:t>
            </w:r>
            <w:r w:rsidRPr="00175E82">
              <w:rPr>
                <w:b/>
                <w:i/>
              </w:rPr>
              <w:t>του δυνητικού αντικτύπου στα δημόσια έσοδα,</w:t>
            </w:r>
            <w:r w:rsidRPr="00175E82">
              <w:t xml:space="preserve"> των αναπτυξιακών αναγκών και των στόχων που πρέπει να επιτε</w:t>
            </w:r>
            <w:r w:rsidRPr="00175E82">
              <w:t>υχθούν έως το 2030 σε σύνδεση με τον μετασχηματισμό ή τη διακοπή των δραστηριοτήτων έντασης εκπομπών αερίων του θερμοκηπίου στα εν λόγω εδάφη·</w:t>
            </w:r>
          </w:p>
        </w:tc>
      </w:tr>
    </w:tbl>
    <w:p w:rsidR="00374C42"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374C42" w:rsidRPr="00175E82" w:rsidRDefault="00271899" w:rsidP="00D050EE">
      <w:r w:rsidRPr="00175E82">
        <w:rPr>
          <w:rStyle w:val="HideTWBExt"/>
          <w:noProof w:val="0"/>
        </w:rPr>
        <w:t>&lt;/Amend&gt;</w:t>
      </w:r>
    </w:p>
    <w:p w:rsidR="00374C42"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32</w:t>
      </w:r>
      <w:r w:rsidRPr="00175E82">
        <w:rPr>
          <w:rStyle w:val="HideTWBExt"/>
          <w:b w:val="0"/>
          <w:noProof w:val="0"/>
        </w:rPr>
        <w:t>&lt;/NumAm&gt;</w:t>
      </w:r>
    </w:p>
    <w:p w:rsidR="00374C42"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w:t>
      </w:r>
      <w:r w:rsidRPr="00175E82">
        <w:rPr>
          <w:rStyle w:val="HideTWBExt"/>
          <w:b w:val="0"/>
          <w:noProof w:val="0"/>
        </w:rPr>
        <w:t>mend&gt;</w:t>
      </w:r>
    </w:p>
    <w:p w:rsidR="00374C42" w:rsidRPr="00175E82" w:rsidRDefault="00271899" w:rsidP="00D050EE">
      <w:pPr>
        <w:pStyle w:val="NormalBold"/>
        <w:keepNext/>
      </w:pPr>
      <w:r w:rsidRPr="00175E82">
        <w:rPr>
          <w:rStyle w:val="HideTWBExt"/>
          <w:b w:val="0"/>
          <w:noProof w:val="0"/>
        </w:rPr>
        <w:t>&lt;Article&gt;</w:t>
      </w:r>
      <w:r w:rsidRPr="00175E82">
        <w:t>Άρθρο 7 – παράγραφος 2 – στοιχείο ε</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374C42" w:rsidRPr="00175E82" w:rsidRDefault="00374C42" w:rsidP="00DA6ED0">
            <w:pPr>
              <w:keepNext/>
            </w:pPr>
          </w:p>
        </w:tc>
      </w:tr>
      <w:tr w:rsidR="00FC0A79" w:rsidRPr="00175E82" w:rsidTr="002669B6">
        <w:trPr>
          <w:jc w:val="center"/>
        </w:trPr>
        <w:tc>
          <w:tcPr>
            <w:tcW w:w="4876" w:type="dxa"/>
          </w:tcPr>
          <w:p w:rsidR="00374C42" w:rsidRPr="00175E82" w:rsidRDefault="00271899" w:rsidP="00DA6ED0">
            <w:pPr>
              <w:pStyle w:val="AmColumnHeading"/>
              <w:keepNext/>
            </w:pPr>
            <w:r w:rsidRPr="00175E82">
              <w:t>Κείμενο που προτείνει η Επιτροπή</w:t>
            </w:r>
          </w:p>
        </w:tc>
        <w:tc>
          <w:tcPr>
            <w:tcW w:w="4876" w:type="dxa"/>
          </w:tcPr>
          <w:p w:rsidR="00374C42"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374C42" w:rsidRPr="00175E82" w:rsidRDefault="00271899" w:rsidP="002669B6">
            <w:pPr>
              <w:pStyle w:val="Normal6a"/>
            </w:pPr>
            <w:r w:rsidRPr="00175E82">
              <w:t>ε)</w:t>
            </w:r>
            <w:r w:rsidRPr="00175E82">
              <w:tab/>
              <w:t>αξιολόγηση της συνέπειας του εδαφικού σχεδίου με άλλες εθνικές, περιφερειακές ή εδαφικές στρατηγικές και σχέδια·</w:t>
            </w:r>
          </w:p>
        </w:tc>
        <w:tc>
          <w:tcPr>
            <w:tcW w:w="4876" w:type="dxa"/>
          </w:tcPr>
          <w:p w:rsidR="00374C42" w:rsidRPr="00175E82" w:rsidRDefault="00271899" w:rsidP="00374C42">
            <w:pPr>
              <w:pStyle w:val="Normal6a"/>
              <w:rPr>
                <w:szCs w:val="24"/>
              </w:rPr>
            </w:pPr>
            <w:r w:rsidRPr="00175E82">
              <w:t>ε)</w:t>
            </w:r>
            <w:r w:rsidRPr="00175E82">
              <w:tab/>
              <w:t xml:space="preserve">αξιολόγηση της συνέπειας του </w:t>
            </w:r>
            <w:r w:rsidRPr="00175E82">
              <w:t>εδαφικού σχεδίου με άλλες εθνικές, περιφερειακές ή εδαφικές στρατηγικές και σχέδια</w:t>
            </w:r>
            <w:r w:rsidRPr="00175E82">
              <w:rPr>
                <w:b/>
                <w:i/>
              </w:rPr>
              <w:t>, κατά περίπτωση</w:t>
            </w:r>
            <w:r w:rsidRPr="00175E82">
              <w:t>·</w:t>
            </w:r>
          </w:p>
        </w:tc>
      </w:tr>
    </w:tbl>
    <w:p w:rsidR="00374C42"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374C42" w:rsidRPr="00175E82" w:rsidRDefault="00271899" w:rsidP="00D050EE">
      <w:r w:rsidRPr="00175E82">
        <w:rPr>
          <w:rStyle w:val="HideTWBExt"/>
          <w:noProof w:val="0"/>
        </w:rPr>
        <w:t>&lt;/Amend&gt;</w:t>
      </w:r>
    </w:p>
    <w:p w:rsidR="00374C42"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33</w:t>
      </w:r>
      <w:r w:rsidRPr="00175E82">
        <w:rPr>
          <w:rStyle w:val="HideTWBExt"/>
          <w:b w:val="0"/>
          <w:noProof w:val="0"/>
        </w:rPr>
        <w:t>&lt;/NumAm&gt;</w:t>
      </w:r>
    </w:p>
    <w:p w:rsidR="00374C42"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374C42" w:rsidRPr="00175E82" w:rsidRDefault="00271899" w:rsidP="00D050EE">
      <w:pPr>
        <w:pStyle w:val="NormalBold"/>
        <w:keepNext/>
      </w:pPr>
      <w:r w:rsidRPr="00175E82">
        <w:rPr>
          <w:rStyle w:val="HideTWBExt"/>
          <w:b w:val="0"/>
          <w:noProof w:val="0"/>
        </w:rPr>
        <w:t>&lt;Article&gt;</w:t>
      </w:r>
      <w:r w:rsidRPr="00175E82">
        <w:t xml:space="preserve">Άρθρο 7 – παράγραφος 4 – </w:t>
      </w:r>
      <w:r w:rsidRPr="00175E82">
        <w:t>εδάφιο 1</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374C42" w:rsidRPr="00175E82" w:rsidRDefault="00374C42" w:rsidP="00DA6ED0">
            <w:pPr>
              <w:keepNext/>
            </w:pPr>
          </w:p>
        </w:tc>
      </w:tr>
      <w:tr w:rsidR="00FC0A79" w:rsidRPr="00175E82" w:rsidTr="002669B6">
        <w:trPr>
          <w:jc w:val="center"/>
        </w:trPr>
        <w:tc>
          <w:tcPr>
            <w:tcW w:w="4876" w:type="dxa"/>
          </w:tcPr>
          <w:p w:rsidR="00374C42" w:rsidRPr="00175E82" w:rsidRDefault="00271899" w:rsidP="00DA6ED0">
            <w:pPr>
              <w:pStyle w:val="AmColumnHeading"/>
              <w:keepNext/>
            </w:pPr>
            <w:r w:rsidRPr="00175E82">
              <w:t>Κείμενο που προτείνει η Επιτροπή</w:t>
            </w:r>
          </w:p>
        </w:tc>
        <w:tc>
          <w:tcPr>
            <w:tcW w:w="4876" w:type="dxa"/>
          </w:tcPr>
          <w:p w:rsidR="00374C42"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374C42" w:rsidRPr="00175E82" w:rsidRDefault="00271899" w:rsidP="002669B6">
            <w:pPr>
              <w:pStyle w:val="Normal6a"/>
            </w:pPr>
            <w:r w:rsidRPr="00175E82">
              <w:t xml:space="preserve">Τα εδαφικά σχέδια δίκαιης μετάβασης συνάδουν με τις εδαφικές στρατηγικές που αναφέρονται στο άρθρο [23] του κανονισμού (ΕΕ) [νέος ΚΚΔ], με τις σχετικές στρατηγικές έξυπνης εξειδίκευσης, με </w:t>
            </w:r>
            <w:r w:rsidRPr="00175E82">
              <w:t>τα ΕΣΕΚ και με τον ευρωπαϊκό πυλώνα κοινωνικών δικαιωμάτων.</w:t>
            </w:r>
          </w:p>
        </w:tc>
        <w:tc>
          <w:tcPr>
            <w:tcW w:w="4876" w:type="dxa"/>
          </w:tcPr>
          <w:p w:rsidR="00374C42" w:rsidRPr="00175E82" w:rsidRDefault="00271899" w:rsidP="00CE4F7D">
            <w:pPr>
              <w:pStyle w:val="Normal6a"/>
              <w:rPr>
                <w:szCs w:val="24"/>
              </w:rPr>
            </w:pPr>
            <w:r w:rsidRPr="00175E82">
              <w:t xml:space="preserve">Τα εδαφικά σχέδια δίκαιης μετάβασης συνάδουν με τις </w:t>
            </w:r>
            <w:r w:rsidRPr="00175E82">
              <w:rPr>
                <w:b/>
                <w:i/>
              </w:rPr>
              <w:t>σχετικές</w:t>
            </w:r>
            <w:r w:rsidRPr="00175E82">
              <w:t xml:space="preserve"> εδαφικές στρατηγικές που αναφέρονται στο άρθρο [23] του κανονισμού (ΕΕ) [νέος ΚΚΔ], με τις σχετικές στρατηγικές έξυπνης εξειδίκευσης, μ</w:t>
            </w:r>
            <w:r w:rsidRPr="00175E82">
              <w:t>ε τα ΕΣΕΚ και με τον ευρωπαϊκό πυλώνα κοινωνικών δικαιωμάτων.</w:t>
            </w:r>
          </w:p>
        </w:tc>
      </w:tr>
    </w:tbl>
    <w:p w:rsidR="00374C42" w:rsidRPr="00175E82" w:rsidRDefault="00271899" w:rsidP="00D050EE">
      <w:pPr>
        <w:pStyle w:val="AmOrLang"/>
      </w:pPr>
      <w:r w:rsidRPr="00175E82">
        <w:t xml:space="preserve">Or. </w:t>
      </w:r>
      <w:r w:rsidRPr="00175E82">
        <w:rPr>
          <w:rStyle w:val="HideTWBExt"/>
          <w:rFonts w:eastAsiaTheme="majorEastAsia"/>
          <w:noProof w:val="0"/>
        </w:rPr>
        <w:t>&lt;Original&gt;</w:t>
      </w:r>
      <w:r w:rsidR="004309FA" w:rsidRPr="00175E82">
        <w:rPr>
          <w:rStyle w:val="HideTWBInt"/>
        </w:rPr>
        <w:t>{EN}</w:t>
      </w:r>
      <w:r w:rsidR="004309FA" w:rsidRPr="00175E82">
        <w:t>en</w:t>
      </w:r>
      <w:r w:rsidRPr="00175E82">
        <w:rPr>
          <w:rStyle w:val="HideTWBExt"/>
          <w:rFonts w:eastAsiaTheme="majorEastAsia"/>
          <w:noProof w:val="0"/>
        </w:rPr>
        <w:t>&lt;/Original&gt;</w:t>
      </w:r>
    </w:p>
    <w:p w:rsidR="00374C42" w:rsidRPr="00175E82" w:rsidRDefault="00271899" w:rsidP="00D050EE">
      <w:r w:rsidRPr="00175E82">
        <w:rPr>
          <w:rStyle w:val="HideTWBExt"/>
          <w:noProof w:val="0"/>
        </w:rPr>
        <w:t>&lt;/Amend&gt;</w:t>
      </w:r>
    </w:p>
    <w:p w:rsidR="00B12FD6"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34</w:t>
      </w:r>
      <w:r w:rsidRPr="00175E82">
        <w:rPr>
          <w:rStyle w:val="HideTWBExt"/>
          <w:b w:val="0"/>
          <w:noProof w:val="0"/>
        </w:rPr>
        <w:t>&lt;/NumAm&gt;</w:t>
      </w:r>
    </w:p>
    <w:p w:rsidR="00B12FD6"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12FD6" w:rsidRPr="00175E82" w:rsidRDefault="00271899" w:rsidP="000C3448">
      <w:pPr>
        <w:pStyle w:val="NormalBold"/>
        <w:keepNext/>
      </w:pPr>
      <w:r w:rsidRPr="00175E82">
        <w:rPr>
          <w:rStyle w:val="HideTWBExt"/>
          <w:b w:val="0"/>
          <w:noProof w:val="0"/>
        </w:rPr>
        <w:t>&lt;Article&gt;</w:t>
      </w:r>
      <w:r w:rsidRPr="00175E82">
        <w:t xml:space="preserve">Άρθρο 8 – παράγραφος 4 α (νέα) </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B12FD6" w:rsidRPr="00175E82" w:rsidRDefault="00B12FD6" w:rsidP="00DA6ED0">
            <w:pPr>
              <w:keepNext/>
            </w:pPr>
          </w:p>
        </w:tc>
      </w:tr>
      <w:tr w:rsidR="00FC0A79" w:rsidRPr="00175E82" w:rsidTr="002669B6">
        <w:trPr>
          <w:jc w:val="center"/>
        </w:trPr>
        <w:tc>
          <w:tcPr>
            <w:tcW w:w="4876" w:type="dxa"/>
          </w:tcPr>
          <w:p w:rsidR="00B12FD6" w:rsidRPr="00175E82" w:rsidRDefault="00271899" w:rsidP="00DA6ED0">
            <w:pPr>
              <w:pStyle w:val="AmColumnHeading"/>
              <w:keepNext/>
            </w:pPr>
            <w:r w:rsidRPr="00175E82">
              <w:t xml:space="preserve">Κείμενο που προτείνει </w:t>
            </w:r>
            <w:r w:rsidRPr="00175E82">
              <w:t>η Επιτροπή</w:t>
            </w:r>
          </w:p>
        </w:tc>
        <w:tc>
          <w:tcPr>
            <w:tcW w:w="4876" w:type="dxa"/>
          </w:tcPr>
          <w:p w:rsidR="00B12FD6"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B12FD6" w:rsidRPr="00175E82" w:rsidRDefault="00B12FD6" w:rsidP="002669B6">
            <w:pPr>
              <w:pStyle w:val="Normal6a"/>
            </w:pPr>
          </w:p>
        </w:tc>
        <w:tc>
          <w:tcPr>
            <w:tcW w:w="4876" w:type="dxa"/>
          </w:tcPr>
          <w:p w:rsidR="00B12FD6" w:rsidRPr="00175E82" w:rsidRDefault="00271899" w:rsidP="00690CA9">
            <w:pPr>
              <w:pStyle w:val="Normal6a"/>
              <w:rPr>
                <w:b/>
                <w:i/>
                <w:szCs w:val="24"/>
              </w:rPr>
            </w:pPr>
            <w:r w:rsidRPr="00175E82">
              <w:rPr>
                <w:b/>
                <w:i/>
              </w:rPr>
              <w:t>4α.</w:t>
            </w:r>
            <w:r w:rsidRPr="00175E82">
              <w:rPr>
                <w:b/>
                <w:i/>
              </w:rPr>
              <w:tab/>
              <w:t>Κατά την εφαρμογή του παρόντος άρθρου θα πρέπει να τηρούνται πλήρως η ενωσιακή και οι εθνικές νομοθεσίες περί προστασίας προσωπικών δεδομένων, με την επιφύλαξη των διατάξεων του κανονισμού (ΕΕ)</w:t>
            </w:r>
            <w:r w:rsidR="00175E82" w:rsidRPr="00175E82">
              <w:rPr>
                <w:b/>
                <w:i/>
              </w:rPr>
              <w:t xml:space="preserve"> </w:t>
            </w:r>
            <w:r w:rsidRPr="00175E82">
              <w:rPr>
                <w:b/>
                <w:i/>
              </w:rPr>
              <w:t>.../... [νέος ΚΚΔ].</w:t>
            </w:r>
          </w:p>
        </w:tc>
      </w:tr>
    </w:tbl>
    <w:p w:rsidR="00B12FD6"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B12FD6" w:rsidRPr="00175E82" w:rsidRDefault="00271899" w:rsidP="000C3448">
      <w:r w:rsidRPr="00175E82">
        <w:rPr>
          <w:rStyle w:val="HideTWBExt"/>
          <w:noProof w:val="0"/>
        </w:rPr>
        <w:t>&lt;/Amend&gt;</w:t>
      </w:r>
    </w:p>
    <w:p w:rsidR="00B12FD6" w:rsidRPr="00175E82" w:rsidRDefault="00271899" w:rsidP="00B12FD6">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35</w:t>
      </w:r>
      <w:r w:rsidRPr="00175E82">
        <w:rPr>
          <w:rStyle w:val="HideTWBExt"/>
          <w:b w:val="0"/>
          <w:noProof w:val="0"/>
        </w:rPr>
        <w:t>&lt;/NumAm&gt;</w:t>
      </w:r>
    </w:p>
    <w:p w:rsidR="00B12FD6" w:rsidRPr="00175E82" w:rsidRDefault="00271899" w:rsidP="00B12FD6">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12FD6" w:rsidRPr="00175E82" w:rsidRDefault="00271899" w:rsidP="00B12FD6">
      <w:pPr>
        <w:pStyle w:val="NormalBold"/>
        <w:keepNext/>
      </w:pPr>
      <w:r w:rsidRPr="00175E82">
        <w:rPr>
          <w:rStyle w:val="HideTWBExt"/>
          <w:b w:val="0"/>
          <w:noProof w:val="0"/>
        </w:rPr>
        <w:t>&lt;Article&gt;</w:t>
      </w:r>
      <w:r w:rsidRPr="00175E82">
        <w:t>Άρθρο 9</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B12FD6" w:rsidRPr="00175E82" w:rsidRDefault="00B12FD6" w:rsidP="000C3448">
            <w:pPr>
              <w:keepNext/>
            </w:pPr>
          </w:p>
        </w:tc>
      </w:tr>
      <w:tr w:rsidR="00FC0A79" w:rsidRPr="00175E82" w:rsidTr="000C3448">
        <w:trPr>
          <w:jc w:val="center"/>
        </w:trPr>
        <w:tc>
          <w:tcPr>
            <w:tcW w:w="4876" w:type="dxa"/>
          </w:tcPr>
          <w:p w:rsidR="00B12FD6" w:rsidRPr="00175E82" w:rsidRDefault="00271899" w:rsidP="000C3448">
            <w:pPr>
              <w:pStyle w:val="AmColumnHeading"/>
              <w:keepNext/>
            </w:pPr>
            <w:r w:rsidRPr="00175E82">
              <w:t>Κείμενο που προτείνει η Επιτροπή</w:t>
            </w:r>
          </w:p>
        </w:tc>
        <w:tc>
          <w:tcPr>
            <w:tcW w:w="4876" w:type="dxa"/>
          </w:tcPr>
          <w:p w:rsidR="00B12FD6"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B12FD6" w:rsidRPr="00175E82" w:rsidRDefault="00271899" w:rsidP="00F65E9A">
            <w:pPr>
              <w:pStyle w:val="Normal6a"/>
              <w:jc w:val="center"/>
              <w:rPr>
                <w:b/>
                <w:i/>
              </w:rPr>
            </w:pPr>
            <w:r w:rsidRPr="00175E82">
              <w:t>Άρθρο 9</w:t>
            </w:r>
          </w:p>
        </w:tc>
        <w:tc>
          <w:tcPr>
            <w:tcW w:w="4876" w:type="dxa"/>
          </w:tcPr>
          <w:p w:rsidR="00B12FD6" w:rsidRPr="00175E82" w:rsidRDefault="00271899" w:rsidP="00F65E9A">
            <w:pPr>
              <w:pStyle w:val="Normal6a"/>
              <w:jc w:val="center"/>
              <w:rPr>
                <w:b/>
                <w:i/>
                <w:szCs w:val="24"/>
              </w:rPr>
            </w:pPr>
            <w:r w:rsidRPr="00175E82">
              <w:t>Άρθρο 9</w:t>
            </w:r>
          </w:p>
        </w:tc>
      </w:tr>
      <w:tr w:rsidR="00FC0A79" w:rsidRPr="00175E82" w:rsidTr="000C3448">
        <w:trPr>
          <w:jc w:val="center"/>
        </w:trPr>
        <w:tc>
          <w:tcPr>
            <w:tcW w:w="4876" w:type="dxa"/>
          </w:tcPr>
          <w:p w:rsidR="006A484F" w:rsidRPr="00175E82" w:rsidRDefault="00271899" w:rsidP="00F65E9A">
            <w:pPr>
              <w:pStyle w:val="Normal6a"/>
              <w:jc w:val="center"/>
            </w:pPr>
            <w:r w:rsidRPr="00175E82">
              <w:t>Δημοσιονομικές διορθώσεις</w:t>
            </w:r>
          </w:p>
        </w:tc>
        <w:tc>
          <w:tcPr>
            <w:tcW w:w="4876" w:type="dxa"/>
          </w:tcPr>
          <w:p w:rsidR="006A484F" w:rsidRPr="00175E82" w:rsidRDefault="00271899" w:rsidP="00F65E9A">
            <w:pPr>
              <w:pStyle w:val="Normal6a"/>
              <w:jc w:val="center"/>
              <w:rPr>
                <w:b/>
                <w:i/>
                <w:szCs w:val="24"/>
              </w:rPr>
            </w:pPr>
            <w:r w:rsidRPr="00175E82">
              <w:t>Δημοσιονομικές διορθώσεις</w:t>
            </w:r>
          </w:p>
        </w:tc>
      </w:tr>
      <w:tr w:rsidR="00FC0A79" w:rsidRPr="00175E82" w:rsidTr="000C3448">
        <w:trPr>
          <w:jc w:val="center"/>
        </w:trPr>
        <w:tc>
          <w:tcPr>
            <w:tcW w:w="4876" w:type="dxa"/>
          </w:tcPr>
          <w:p w:rsidR="006A484F" w:rsidRPr="00175E82" w:rsidRDefault="00271899" w:rsidP="000C3448">
            <w:pPr>
              <w:pStyle w:val="Normal6a"/>
              <w:rPr>
                <w:b/>
                <w:i/>
              </w:rPr>
            </w:pPr>
            <w:r w:rsidRPr="00175E82">
              <w:rPr>
                <w:b/>
                <w:i/>
              </w:rPr>
              <w:t xml:space="preserve">Όταν η </w:t>
            </w:r>
            <w:r w:rsidRPr="00175E82">
              <w:rPr>
                <w:b/>
                <w:i/>
              </w:rPr>
              <w:t>Επιτροπή συμπεραίνει, με</w:t>
            </w:r>
            <w:r w:rsidRPr="00175E82">
              <w:t xml:space="preserve"> βάση την εξέταση της τελικής έκθεσης επιδόσεων του προγράμματος, </w:t>
            </w:r>
            <w:r w:rsidRPr="00175E82">
              <w:rPr>
                <w:b/>
                <w:i/>
              </w:rPr>
              <w:t>ότι δεν έχει επιτευχθεί τουλάχιστον το 65 % του στόχου που έχει καθοριστεί για έναν ή περισσότερους δείκτες εκροών ή αποτελεσμάτων για τους πόρους του ΤΔΜ,</w:t>
            </w:r>
            <w:r w:rsidRPr="00175E82">
              <w:t xml:space="preserve"> μπορεί να </w:t>
            </w:r>
            <w:r w:rsidRPr="00175E82">
              <w:t xml:space="preserve">προβεί σε δημοσιονομικές διορθώσεις, σύμφωνα με </w:t>
            </w:r>
            <w:r w:rsidRPr="00175E82">
              <w:rPr>
                <w:b/>
                <w:i/>
              </w:rPr>
              <w:t>το άρθρο [98] του κανονισμού</w:t>
            </w:r>
            <w:r w:rsidRPr="00175E82">
              <w:t xml:space="preserve"> (ΕΕ) [νέος ΚΚΔ]</w:t>
            </w:r>
            <w:r w:rsidRPr="00175E82">
              <w:rPr>
                <w:b/>
                <w:i/>
              </w:rPr>
              <w:t>, μειώνοντας τη στήριξη του ΤΔΜ στην εν λόγω προτεραιότητα κατ’ αναλογία προς τα αποτελέσματα</w:t>
            </w:r>
            <w:r w:rsidRPr="00175E82">
              <w:t>.</w:t>
            </w:r>
          </w:p>
        </w:tc>
        <w:tc>
          <w:tcPr>
            <w:tcW w:w="4876" w:type="dxa"/>
          </w:tcPr>
          <w:p w:rsidR="006A484F" w:rsidRPr="00175E82" w:rsidRDefault="00271899" w:rsidP="00681407">
            <w:pPr>
              <w:pStyle w:val="Normal6a"/>
              <w:rPr>
                <w:b/>
                <w:i/>
              </w:rPr>
            </w:pPr>
            <w:r w:rsidRPr="00175E82">
              <w:rPr>
                <w:b/>
                <w:i/>
              </w:rPr>
              <w:t>Με</w:t>
            </w:r>
            <w:r w:rsidRPr="00175E82">
              <w:t xml:space="preserve"> βάση την εξέταση της τελικής έκθεσης επιδόσεων του προγράμματος, </w:t>
            </w:r>
            <w:r w:rsidRPr="00175E82">
              <w:rPr>
                <w:b/>
                <w:i/>
              </w:rPr>
              <w:t>η</w:t>
            </w:r>
            <w:r w:rsidRPr="00175E82">
              <w:rPr>
                <w:b/>
                <w:i/>
              </w:rPr>
              <w:t xml:space="preserve"> Επιτροπή</w:t>
            </w:r>
            <w:r w:rsidRPr="00175E82">
              <w:t xml:space="preserve"> μπορεί να προβεί σε δημοσιονομικές διορθώσεις, σύμφωνα με </w:t>
            </w:r>
            <w:r w:rsidRPr="00175E82">
              <w:rPr>
                <w:b/>
                <w:i/>
              </w:rPr>
              <w:t>τον κανονισμό</w:t>
            </w:r>
            <w:r w:rsidRPr="00175E82">
              <w:t xml:space="preserve"> (ΕΕ) [νέος ΚΚΔ].</w:t>
            </w:r>
          </w:p>
        </w:tc>
      </w:tr>
    </w:tbl>
    <w:p w:rsidR="00B12FD6" w:rsidRPr="00175E82" w:rsidRDefault="00271899" w:rsidP="00B12FD6">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B12FD6" w:rsidRPr="00175E82" w:rsidRDefault="00271899" w:rsidP="00B12FD6">
      <w:r w:rsidRPr="00175E82">
        <w:rPr>
          <w:rStyle w:val="HideTWBExt"/>
          <w:noProof w:val="0"/>
        </w:rPr>
        <w:t>&lt;/Amend&gt;</w:t>
      </w:r>
    </w:p>
    <w:p w:rsidR="00045743"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36</w:t>
      </w:r>
      <w:r w:rsidRPr="00175E82">
        <w:rPr>
          <w:rStyle w:val="HideTWBExt"/>
          <w:b w:val="0"/>
          <w:noProof w:val="0"/>
        </w:rPr>
        <w:t>&lt;/NumAm&gt;</w:t>
      </w:r>
    </w:p>
    <w:p w:rsidR="00045743"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045743" w:rsidRPr="00175E82" w:rsidRDefault="00271899" w:rsidP="000C3448">
      <w:pPr>
        <w:pStyle w:val="NormalBold"/>
        <w:keepNext/>
      </w:pPr>
      <w:r w:rsidRPr="00175E82">
        <w:rPr>
          <w:rStyle w:val="HideTWBExt"/>
          <w:b w:val="0"/>
          <w:noProof w:val="0"/>
        </w:rPr>
        <w:t>&lt;Article&gt;</w:t>
      </w:r>
      <w:r w:rsidRPr="00175E82">
        <w:t>Άρθρο 10 – παράγραφος 2</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045743" w:rsidRPr="00175E82" w:rsidRDefault="00045743" w:rsidP="00DA6ED0">
            <w:pPr>
              <w:keepNext/>
            </w:pPr>
          </w:p>
        </w:tc>
      </w:tr>
      <w:tr w:rsidR="00FC0A79" w:rsidRPr="00175E82" w:rsidTr="002669B6">
        <w:trPr>
          <w:jc w:val="center"/>
        </w:trPr>
        <w:tc>
          <w:tcPr>
            <w:tcW w:w="4876" w:type="dxa"/>
          </w:tcPr>
          <w:p w:rsidR="00045743" w:rsidRPr="00175E82" w:rsidRDefault="00271899" w:rsidP="00DA6ED0">
            <w:pPr>
              <w:pStyle w:val="AmColumnHeading"/>
              <w:keepNext/>
            </w:pPr>
            <w:r w:rsidRPr="00175E82">
              <w:t>Κείμενο που προτείνει η Επιτροπή</w:t>
            </w:r>
          </w:p>
        </w:tc>
        <w:tc>
          <w:tcPr>
            <w:tcW w:w="4876" w:type="dxa"/>
          </w:tcPr>
          <w:p w:rsidR="00045743"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045743" w:rsidRPr="00175E82" w:rsidRDefault="00271899" w:rsidP="002669B6">
            <w:pPr>
              <w:pStyle w:val="Normal6a"/>
            </w:pPr>
            <w:r w:rsidRPr="00175E82">
              <w:t>2.</w:t>
            </w:r>
            <w:r w:rsidRPr="00175E82">
              <w:tab/>
              <w:t xml:space="preserve">Η προβλεπόμενη στο άρθρο 8 παράγραφος 4 εξουσία έκδοσης κατ’ εξουσιοδότηση πράξεων ανατίθεται στην Επιτροπή για αόριστο χρονικό διάστημα από [την ημερομηνία έναρξης ισχύος του παρόντος </w:t>
            </w:r>
            <w:r w:rsidRPr="00175E82">
              <w:t>κανονισμού].</w:t>
            </w:r>
          </w:p>
        </w:tc>
        <w:tc>
          <w:tcPr>
            <w:tcW w:w="4876" w:type="dxa"/>
          </w:tcPr>
          <w:p w:rsidR="00045743" w:rsidRPr="00175E82" w:rsidRDefault="00271899" w:rsidP="002669B6">
            <w:pPr>
              <w:pStyle w:val="Normal6a"/>
              <w:rPr>
                <w:szCs w:val="24"/>
              </w:rPr>
            </w:pPr>
            <w:r w:rsidRPr="00175E82">
              <w:t>2.</w:t>
            </w:r>
            <w:r w:rsidRPr="00175E82">
              <w:tab/>
              <w:t xml:space="preserve">Η προβλεπόμενη </w:t>
            </w:r>
            <w:r w:rsidRPr="00175E82">
              <w:rPr>
                <w:b/>
                <w:i/>
              </w:rPr>
              <w:t>στο</w:t>
            </w:r>
            <w:r w:rsidRPr="00175E82">
              <w:rPr>
                <w:b/>
                <w:i/>
              </w:rPr>
              <w:t xml:space="preserve"> </w:t>
            </w:r>
            <w:r w:rsidRPr="00175E82">
              <w:rPr>
                <w:b/>
                <w:i/>
              </w:rPr>
              <w:t>άρθρο</w:t>
            </w:r>
            <w:r w:rsidRPr="00175E82">
              <w:t xml:space="preserve"> </w:t>
            </w:r>
            <w:r w:rsidRPr="00175E82">
              <w:rPr>
                <w:b/>
                <w:i/>
              </w:rPr>
              <w:t>3 παράγραφος 3 και</w:t>
            </w:r>
            <w:r w:rsidRPr="00175E82">
              <w:t xml:space="preserve"> </w:t>
            </w:r>
            <w:r w:rsidRPr="00175E82">
              <w:t>στο</w:t>
            </w:r>
            <w:r w:rsidRPr="00175E82">
              <w:t xml:space="preserve"> </w:t>
            </w:r>
            <w:r w:rsidRPr="00175E82">
              <w:t>άρθρο</w:t>
            </w:r>
            <w:r w:rsidRPr="00175E82">
              <w:t xml:space="preserve"> 8 παράγραφος 4 εξουσία έκδοσης κατ’ εξουσιοδότηση πράξεων ανατίθεται στην Επιτροπή για αόριστο χρονικό διάστημα από [την ημερομηνία έναρξης ισχύος του παρόντος κανονισμού].</w:t>
            </w:r>
          </w:p>
        </w:tc>
      </w:tr>
    </w:tbl>
    <w:p w:rsidR="00045743" w:rsidRPr="00175E82" w:rsidRDefault="00271899" w:rsidP="000C3448">
      <w:pPr>
        <w:pStyle w:val="AmOrLang"/>
      </w:pPr>
      <w:r w:rsidRPr="00175E82">
        <w:t xml:space="preserve">Or. </w:t>
      </w:r>
      <w:r w:rsidRPr="00175E82">
        <w:rPr>
          <w:rStyle w:val="HideTWBExt"/>
          <w:rFonts w:eastAsiaTheme="majorEastAsia"/>
          <w:noProof w:val="0"/>
        </w:rPr>
        <w:t>&lt;Origina</w:t>
      </w:r>
      <w:r w:rsidRPr="00175E82">
        <w:rPr>
          <w:rStyle w:val="HideTWBExt"/>
          <w:rFonts w:eastAsiaTheme="majorEastAsia"/>
          <w:noProof w:val="0"/>
        </w:rPr>
        <w:t>l&gt;</w:t>
      </w:r>
      <w:r w:rsidRPr="00175E82">
        <w:rPr>
          <w:rStyle w:val="HideTWBInt"/>
        </w:rPr>
        <w:t>{EN}</w:t>
      </w:r>
      <w:r w:rsidRPr="00175E82">
        <w:t>en</w:t>
      </w:r>
      <w:r w:rsidRPr="00175E82">
        <w:rPr>
          <w:rStyle w:val="HideTWBExt"/>
          <w:rFonts w:eastAsiaTheme="majorEastAsia"/>
          <w:noProof w:val="0"/>
        </w:rPr>
        <w:t>&lt;/Original&gt;</w:t>
      </w:r>
    </w:p>
    <w:p w:rsidR="00045743" w:rsidRPr="00175E82" w:rsidRDefault="00271899" w:rsidP="000C3448">
      <w:r w:rsidRPr="00175E82">
        <w:rPr>
          <w:rStyle w:val="HideTWBExt"/>
          <w:noProof w:val="0"/>
        </w:rPr>
        <w:t>&lt;/Amend&gt;</w:t>
      </w:r>
    </w:p>
    <w:p w:rsidR="00045743" w:rsidRPr="00175E82" w:rsidRDefault="00271899" w:rsidP="00045743">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37</w:t>
      </w:r>
      <w:r w:rsidRPr="00175E82">
        <w:rPr>
          <w:rStyle w:val="HideTWBExt"/>
          <w:b w:val="0"/>
          <w:noProof w:val="0"/>
        </w:rPr>
        <w:t>&lt;/NumAm&gt;</w:t>
      </w:r>
    </w:p>
    <w:p w:rsidR="00045743" w:rsidRPr="00175E82" w:rsidRDefault="00271899" w:rsidP="00045743">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045743" w:rsidRPr="00175E82" w:rsidRDefault="00271899" w:rsidP="00045743">
      <w:pPr>
        <w:pStyle w:val="NormalBold"/>
        <w:keepNext/>
      </w:pPr>
      <w:r w:rsidRPr="00175E82">
        <w:rPr>
          <w:rStyle w:val="HideTWBExt"/>
          <w:b w:val="0"/>
          <w:noProof w:val="0"/>
        </w:rPr>
        <w:t>&lt;Article&gt;</w:t>
      </w:r>
      <w:r w:rsidRPr="00175E82">
        <w:t>Άρθρο 10 – παράγραφος 3</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045743" w:rsidRPr="00175E82" w:rsidRDefault="00045743" w:rsidP="000C3448">
            <w:pPr>
              <w:keepNext/>
            </w:pPr>
          </w:p>
        </w:tc>
      </w:tr>
      <w:tr w:rsidR="00FC0A79" w:rsidRPr="00175E82" w:rsidTr="000C3448">
        <w:trPr>
          <w:jc w:val="center"/>
        </w:trPr>
        <w:tc>
          <w:tcPr>
            <w:tcW w:w="4876" w:type="dxa"/>
          </w:tcPr>
          <w:p w:rsidR="00045743" w:rsidRPr="00175E82" w:rsidRDefault="00271899" w:rsidP="000C3448">
            <w:pPr>
              <w:pStyle w:val="AmColumnHeading"/>
              <w:keepNext/>
            </w:pPr>
            <w:r w:rsidRPr="00175E82">
              <w:t>Κείμενο που προτείνει η Επιτροπή</w:t>
            </w:r>
          </w:p>
        </w:tc>
        <w:tc>
          <w:tcPr>
            <w:tcW w:w="4876" w:type="dxa"/>
          </w:tcPr>
          <w:p w:rsidR="00045743"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045743" w:rsidRPr="00175E82" w:rsidRDefault="00271899" w:rsidP="000C3448">
            <w:pPr>
              <w:pStyle w:val="Normal6a"/>
            </w:pPr>
            <w:r w:rsidRPr="00175E82">
              <w:t>3.</w:t>
            </w:r>
            <w:r w:rsidRPr="00175E82">
              <w:tab/>
              <w:t xml:space="preserve">Η προβλεπόμενη στο άρθρο 8 παράγραφος 4 εξουσιοδότηση </w:t>
            </w:r>
            <w:r w:rsidRPr="00175E82">
              <w:t xml:space="preserve">μπορεί να ανακληθεί ανά πάσα στιγμή από το Ευρωπαϊκό Κοινοβούλιο ή το Συμβούλιο. Η απόφαση ανάκλησης τερματίζει την εξουσιοδότηση που προσδιορίζεται στην εν λόγω απόφαση. Παράγει αποτελέσματα την επομένη της δημοσίευσης της απόφασης στην Επίσημη Εφημερίδα </w:t>
            </w:r>
            <w:r w:rsidRPr="00175E82">
              <w:t>της Ευρωπαϊκής Ένωσης ή σε μεταγενέστερη ημερομηνία που ορίζεται στην απόφαση. Δεν θίγει το κύρος των κατ᾽  εξουσιοδότηση πράξεων που ήδη ισχύουν.</w:t>
            </w:r>
          </w:p>
        </w:tc>
        <w:tc>
          <w:tcPr>
            <w:tcW w:w="4876" w:type="dxa"/>
          </w:tcPr>
          <w:p w:rsidR="00045743" w:rsidRPr="00175E82" w:rsidRDefault="00271899" w:rsidP="000C3448">
            <w:pPr>
              <w:pStyle w:val="Normal6a"/>
              <w:rPr>
                <w:szCs w:val="24"/>
              </w:rPr>
            </w:pPr>
            <w:r w:rsidRPr="00175E82">
              <w:t>3.</w:t>
            </w:r>
            <w:r w:rsidRPr="00175E82">
              <w:tab/>
              <w:t xml:space="preserve">Η προβλεπόμενη </w:t>
            </w:r>
            <w:r w:rsidRPr="00175E82">
              <w:rPr>
                <w:b/>
                <w:i/>
              </w:rPr>
              <w:t>στο άρθρο</w:t>
            </w:r>
            <w:r w:rsidRPr="00175E82">
              <w:rPr>
                <w:b/>
                <w:i/>
              </w:rPr>
              <w:t xml:space="preserve"> 3</w:t>
            </w:r>
            <w:r w:rsidRPr="00175E82">
              <w:rPr>
                <w:b/>
                <w:i/>
              </w:rPr>
              <w:t xml:space="preserve"> παράγραφος 3 και</w:t>
            </w:r>
            <w:r w:rsidRPr="00175E82">
              <w:t xml:space="preserve"> </w:t>
            </w:r>
            <w:r w:rsidRPr="00175E82">
              <w:t>στο άρθρο</w:t>
            </w:r>
            <w:r w:rsidRPr="00175E82">
              <w:t xml:space="preserve"> 8 παράγραφος 4 εξουσιοδότηση μπορεί να ανακληθεί ανά</w:t>
            </w:r>
            <w:r w:rsidRPr="00175E82">
              <w:t xml:space="preserve"> πάσα στιγμή από το Ευρωπαϊκό Κοινοβούλιο ή το Συμβούλιο. Η απόφαση ανάκλησης τερματίζει την εξουσιοδότηση που προσδιορίζεται στην εν λόγω απόφαση. Παράγει αποτελέσματα την επομένη της δημοσίευσης της απόφασης στην Επίσημη Εφημερίδα της Ευρωπαϊκής Ένωσης ή</w:t>
            </w:r>
            <w:r w:rsidRPr="00175E82">
              <w:t xml:space="preserve"> σε μεταγενέστερη ημερομηνία που ορίζεται στην απόφαση. Δεν θίγει το κύρος των κατ᾽ εξουσιοδότηση πράξεων που ήδη ισχύουν.</w:t>
            </w:r>
          </w:p>
        </w:tc>
      </w:tr>
    </w:tbl>
    <w:p w:rsidR="00045743" w:rsidRPr="00175E82" w:rsidRDefault="00271899" w:rsidP="00045743">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045743" w:rsidRPr="00175E82" w:rsidRDefault="00271899" w:rsidP="00045743">
      <w:r w:rsidRPr="00175E82">
        <w:rPr>
          <w:rStyle w:val="HideTWBExt"/>
          <w:noProof w:val="0"/>
        </w:rPr>
        <w:t>&lt;/Amend&gt;</w:t>
      </w:r>
    </w:p>
    <w:p w:rsidR="00045743" w:rsidRPr="00175E82" w:rsidRDefault="00271899" w:rsidP="00045743">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38</w:t>
      </w:r>
      <w:r w:rsidRPr="00175E82">
        <w:rPr>
          <w:rStyle w:val="HideTWBExt"/>
          <w:b w:val="0"/>
          <w:noProof w:val="0"/>
        </w:rPr>
        <w:t>&lt;/NumAm&gt;</w:t>
      </w:r>
    </w:p>
    <w:p w:rsidR="00045743" w:rsidRPr="00175E82" w:rsidRDefault="00271899" w:rsidP="00045743">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045743" w:rsidRPr="00175E82" w:rsidRDefault="00271899" w:rsidP="00045743">
      <w:pPr>
        <w:pStyle w:val="NormalBold"/>
        <w:keepNext/>
      </w:pPr>
      <w:r w:rsidRPr="00175E82">
        <w:rPr>
          <w:rStyle w:val="HideTWBExt"/>
          <w:b w:val="0"/>
          <w:noProof w:val="0"/>
        </w:rPr>
        <w:t>&lt;Article&gt;</w:t>
      </w:r>
      <w:r w:rsidRPr="00175E82">
        <w:t>Άρθρο</w:t>
      </w:r>
      <w:r w:rsidRPr="00175E82">
        <w:t xml:space="preserve"> 10 – παράγραφος 6</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045743" w:rsidRPr="00175E82" w:rsidRDefault="00045743" w:rsidP="000C3448">
            <w:pPr>
              <w:keepNext/>
            </w:pPr>
          </w:p>
        </w:tc>
      </w:tr>
      <w:tr w:rsidR="00FC0A79" w:rsidRPr="00175E82" w:rsidTr="000C3448">
        <w:trPr>
          <w:jc w:val="center"/>
        </w:trPr>
        <w:tc>
          <w:tcPr>
            <w:tcW w:w="4876" w:type="dxa"/>
          </w:tcPr>
          <w:p w:rsidR="00045743" w:rsidRPr="00175E82" w:rsidRDefault="00271899" w:rsidP="000C3448">
            <w:pPr>
              <w:pStyle w:val="AmColumnHeading"/>
              <w:keepNext/>
            </w:pPr>
            <w:r w:rsidRPr="00175E82">
              <w:t>Κείμενο που προτείνει η Επιτροπή</w:t>
            </w:r>
          </w:p>
        </w:tc>
        <w:tc>
          <w:tcPr>
            <w:tcW w:w="4876" w:type="dxa"/>
          </w:tcPr>
          <w:p w:rsidR="00045743" w:rsidRPr="00175E82" w:rsidRDefault="00271899" w:rsidP="000C3448">
            <w:pPr>
              <w:pStyle w:val="AmColumnHeading"/>
              <w:keepNext/>
            </w:pPr>
            <w:r w:rsidRPr="00175E82">
              <w:t>Τροπολογία</w:t>
            </w:r>
          </w:p>
        </w:tc>
      </w:tr>
      <w:tr w:rsidR="00FC0A79" w:rsidRPr="00175E82" w:rsidTr="000C3448">
        <w:trPr>
          <w:jc w:val="center"/>
        </w:trPr>
        <w:tc>
          <w:tcPr>
            <w:tcW w:w="4876" w:type="dxa"/>
          </w:tcPr>
          <w:p w:rsidR="00045743" w:rsidRPr="00175E82" w:rsidRDefault="00271899" w:rsidP="000C3448">
            <w:pPr>
              <w:pStyle w:val="Normal6a"/>
            </w:pPr>
            <w:r w:rsidRPr="00175E82">
              <w:t>6.</w:t>
            </w:r>
            <w:r w:rsidRPr="00175E82">
              <w:tab/>
              <w:t>Η κατ’ εξουσιοδότηση πράξη που εκδίδεται δυνάμει του άρθρου 8 παράγραφος 4 τίθεται σε ισχύ μόνον εφόσον δεν έχει διατυπωθεί αντίρρηση από το Ευρωπαϊκό Κοινοβούλιο ή το Συμβούλιο</w:t>
            </w:r>
            <w:r w:rsidRPr="00175E82">
              <w:t xml:space="preserve">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προβάλλουν αντιρρήσεις. Η προθεσμί</w:t>
            </w:r>
            <w:r w:rsidRPr="00175E82">
              <w:t>α αυτή παρατείνεται κατά δύο μήνες με πρωτοβουλία του Ευρωπαϊκού Κοινοβουλίου ή του Συμβουλίου.</w:t>
            </w:r>
          </w:p>
        </w:tc>
        <w:tc>
          <w:tcPr>
            <w:tcW w:w="4876" w:type="dxa"/>
          </w:tcPr>
          <w:p w:rsidR="00045743" w:rsidRPr="00175E82" w:rsidRDefault="00271899" w:rsidP="000C3448">
            <w:pPr>
              <w:pStyle w:val="Normal6a"/>
              <w:rPr>
                <w:szCs w:val="24"/>
              </w:rPr>
            </w:pPr>
            <w:r w:rsidRPr="00175E82">
              <w:t>6.</w:t>
            </w:r>
            <w:r w:rsidRPr="00175E82">
              <w:tab/>
              <w:t xml:space="preserve">Η κατ’ εξουσιοδότηση πράξη που εκδίδεται δυνάμει </w:t>
            </w:r>
            <w:r w:rsidRPr="00175E82">
              <w:rPr>
                <w:b/>
                <w:i/>
              </w:rPr>
              <w:t>του άρθρου</w:t>
            </w:r>
            <w:r w:rsidRPr="00175E82">
              <w:rPr>
                <w:b/>
                <w:i/>
              </w:rPr>
              <w:t xml:space="preserve"> 3 παράγραφος 3 και</w:t>
            </w:r>
            <w:r w:rsidRPr="00175E82">
              <w:t xml:space="preserve"> </w:t>
            </w:r>
            <w:r w:rsidRPr="00175E82">
              <w:t>του άρθρου</w:t>
            </w:r>
            <w:r w:rsidRPr="00175E82">
              <w:t xml:space="preserve"> 8 παράγραφος 4 τίθεται σε ισχύ μόνον εφόσον δεν έχει διατυπωθεί αντ</w:t>
            </w:r>
            <w:r w:rsidRPr="00175E82">
              <w:t>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w:t>
            </w:r>
            <w:r w:rsidRPr="00175E82">
              <w:t>ροπή ότι δεν θα προβάλλουν αντιρρήσεις. Η προθεσμία αυτή παρατείνεται κατά δύο μήνες με πρωτοβουλία του Ευρωπαϊκού Κοινοβουλίου ή του Συμβουλίου.</w:t>
            </w:r>
          </w:p>
        </w:tc>
      </w:tr>
    </w:tbl>
    <w:p w:rsidR="00045743" w:rsidRPr="00175E82" w:rsidRDefault="00271899" w:rsidP="00045743">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045743" w:rsidRPr="00175E82" w:rsidRDefault="00271899" w:rsidP="00045743">
      <w:r w:rsidRPr="00175E82">
        <w:rPr>
          <w:rStyle w:val="HideTWBExt"/>
          <w:noProof w:val="0"/>
        </w:rPr>
        <w:t>&lt;/Amend&gt;</w:t>
      </w:r>
    </w:p>
    <w:p w:rsidR="00B12FD6" w:rsidRPr="00175E82" w:rsidRDefault="00271899" w:rsidP="00B12FD6">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39</w:t>
      </w:r>
      <w:r w:rsidRPr="00175E82">
        <w:rPr>
          <w:rStyle w:val="HideTWBExt"/>
          <w:b w:val="0"/>
          <w:noProof w:val="0"/>
        </w:rPr>
        <w:t>&lt;/NumAm&gt;</w:t>
      </w:r>
    </w:p>
    <w:p w:rsidR="00B12FD6" w:rsidRPr="00175E82" w:rsidRDefault="00271899" w:rsidP="00B12FD6">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B12FD6" w:rsidRPr="00175E82" w:rsidRDefault="00271899" w:rsidP="00B12FD6">
      <w:pPr>
        <w:pStyle w:val="NormalBold"/>
        <w:keepNext/>
      </w:pPr>
      <w:r w:rsidRPr="00175E82">
        <w:rPr>
          <w:rStyle w:val="HideTWBExt"/>
          <w:b w:val="0"/>
          <w:noProof w:val="0"/>
        </w:rPr>
        <w:t>&lt;Article&gt;</w:t>
      </w:r>
      <w:r w:rsidRPr="00175E82">
        <w:t>Άρθρο 10 α (νέο)</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0C3448">
        <w:trPr>
          <w:jc w:val="center"/>
        </w:trPr>
        <w:tc>
          <w:tcPr>
            <w:tcW w:w="9752" w:type="dxa"/>
            <w:gridSpan w:val="2"/>
          </w:tcPr>
          <w:p w:rsidR="00B12FD6" w:rsidRPr="00175E82" w:rsidRDefault="00B12FD6" w:rsidP="000C3448">
            <w:pPr>
              <w:keepNext/>
            </w:pPr>
          </w:p>
        </w:tc>
      </w:tr>
      <w:tr w:rsidR="00FC0A79" w:rsidRPr="00175E82" w:rsidTr="000C3448">
        <w:trPr>
          <w:jc w:val="center"/>
        </w:trPr>
        <w:tc>
          <w:tcPr>
            <w:tcW w:w="4876" w:type="dxa"/>
          </w:tcPr>
          <w:p w:rsidR="00B12FD6" w:rsidRPr="00175E82" w:rsidRDefault="00271899" w:rsidP="000C3448">
            <w:pPr>
              <w:pStyle w:val="AmColumnHeading"/>
              <w:keepNext/>
            </w:pPr>
            <w:r w:rsidRPr="00175E82">
              <w:t>Κείμενο που προτείνει η Επιτροπή</w:t>
            </w:r>
          </w:p>
        </w:tc>
        <w:tc>
          <w:tcPr>
            <w:tcW w:w="4876" w:type="dxa"/>
          </w:tcPr>
          <w:p w:rsidR="00AA7BD5" w:rsidRPr="00175E82" w:rsidRDefault="00271899" w:rsidP="000C6F90">
            <w:pPr>
              <w:pStyle w:val="AmColumnHeading"/>
              <w:keepNext/>
            </w:pPr>
            <w:r w:rsidRPr="00175E82">
              <w:t>Τροπολογία</w:t>
            </w:r>
          </w:p>
        </w:tc>
      </w:tr>
      <w:tr w:rsidR="00FC0A79" w:rsidRPr="00175E82" w:rsidTr="000C3448">
        <w:trPr>
          <w:jc w:val="center"/>
        </w:trPr>
        <w:tc>
          <w:tcPr>
            <w:tcW w:w="4876" w:type="dxa"/>
          </w:tcPr>
          <w:p w:rsidR="000C6F90" w:rsidRPr="00175E82" w:rsidRDefault="000C6F90" w:rsidP="000C6F90">
            <w:pPr>
              <w:pStyle w:val="Normal6a"/>
              <w:rPr>
                <w:b/>
                <w:bCs/>
                <w:i/>
                <w:iCs/>
              </w:rPr>
            </w:pPr>
          </w:p>
        </w:tc>
        <w:tc>
          <w:tcPr>
            <w:tcW w:w="4876" w:type="dxa"/>
          </w:tcPr>
          <w:p w:rsidR="000C6F90" w:rsidRPr="00175E82" w:rsidRDefault="00271899" w:rsidP="000C6F90">
            <w:pPr>
              <w:pStyle w:val="Normal6a"/>
              <w:jc w:val="center"/>
              <w:rPr>
                <w:b/>
                <w:bCs/>
                <w:i/>
                <w:iCs/>
              </w:rPr>
            </w:pPr>
            <w:r w:rsidRPr="00175E82">
              <w:rPr>
                <w:b/>
                <w:bCs/>
                <w:i/>
                <w:iCs/>
              </w:rPr>
              <w:t>Άρθρο 10α</w:t>
            </w:r>
          </w:p>
        </w:tc>
      </w:tr>
      <w:tr w:rsidR="00FC0A79" w:rsidRPr="00175E82" w:rsidTr="000C3448">
        <w:trPr>
          <w:jc w:val="center"/>
        </w:trPr>
        <w:tc>
          <w:tcPr>
            <w:tcW w:w="4876" w:type="dxa"/>
          </w:tcPr>
          <w:p w:rsidR="000C6F90" w:rsidRPr="00175E82" w:rsidRDefault="000C6F90" w:rsidP="000C6F90">
            <w:pPr>
              <w:pStyle w:val="Normal6a"/>
              <w:rPr>
                <w:b/>
                <w:bCs/>
                <w:i/>
                <w:iCs/>
              </w:rPr>
            </w:pPr>
          </w:p>
        </w:tc>
        <w:tc>
          <w:tcPr>
            <w:tcW w:w="4876" w:type="dxa"/>
          </w:tcPr>
          <w:p w:rsidR="000C6F90" w:rsidRPr="00175E82" w:rsidRDefault="00271899" w:rsidP="000C6F90">
            <w:pPr>
              <w:pStyle w:val="Normal6a"/>
              <w:jc w:val="center"/>
              <w:rPr>
                <w:b/>
                <w:bCs/>
                <w:i/>
                <w:iCs/>
              </w:rPr>
            </w:pPr>
            <w:r w:rsidRPr="00175E82">
              <w:rPr>
                <w:b/>
                <w:bCs/>
                <w:i/>
                <w:iCs/>
              </w:rPr>
              <w:t>Μεταβατικές διατάξεις</w:t>
            </w:r>
          </w:p>
        </w:tc>
      </w:tr>
      <w:tr w:rsidR="00FC0A79" w:rsidRPr="00175E82" w:rsidTr="000C3448">
        <w:trPr>
          <w:jc w:val="center"/>
        </w:trPr>
        <w:tc>
          <w:tcPr>
            <w:tcW w:w="4876" w:type="dxa"/>
          </w:tcPr>
          <w:p w:rsidR="00B12FD6" w:rsidRPr="00175E82" w:rsidRDefault="00B12FD6" w:rsidP="000C3448">
            <w:pPr>
              <w:pStyle w:val="Normal6a"/>
            </w:pPr>
          </w:p>
        </w:tc>
        <w:tc>
          <w:tcPr>
            <w:tcW w:w="4876" w:type="dxa"/>
          </w:tcPr>
          <w:p w:rsidR="00B12FD6" w:rsidRPr="00175E82" w:rsidRDefault="00271899" w:rsidP="00681407">
            <w:pPr>
              <w:pStyle w:val="Normal6a"/>
              <w:rPr>
                <w:b/>
                <w:i/>
                <w:szCs w:val="24"/>
              </w:rPr>
            </w:pPr>
            <w:r w:rsidRPr="00175E82">
              <w:rPr>
                <w:b/>
                <w:i/>
              </w:rPr>
              <w:t xml:space="preserve">Τα κράτη μέλη επωφελούνται από μια μεταβατική περίοδο έως την ... [ένα έτος από την ημερομηνία έναρξης ισχύος του παρόντος κανονισμού] για την κατάρτιση και έγκριση των εδαφικών σχεδίων δίκαιης μετάβασης. Κατά τη διάρκεια της εν λόγω μεταβατικής περιόδου, </w:t>
            </w:r>
            <w:r w:rsidRPr="00175E82">
              <w:rPr>
                <w:b/>
                <w:i/>
              </w:rPr>
              <w:t>η οποία δεν λαμβάνεται υπόψη από την Επιτροπή όταν εξετάζει απόφαση σχετικά με την αποδέσμευση ή απώλεια χρηματοδότησης, όλα τα κράτη μέλη είναι πλήρως επιλέξιμα για χρηματοδότηση βάσει του παρόντος κανονισμού.</w:t>
            </w:r>
          </w:p>
        </w:tc>
      </w:tr>
    </w:tbl>
    <w:p w:rsidR="00B12FD6" w:rsidRPr="00175E82" w:rsidRDefault="00271899" w:rsidP="00B12FD6">
      <w:pPr>
        <w:pStyle w:val="AmOrLang"/>
      </w:pPr>
      <w:r w:rsidRPr="00175E82">
        <w:t xml:space="preserve">Or. </w:t>
      </w:r>
      <w:r w:rsidRPr="00175E82">
        <w:rPr>
          <w:rStyle w:val="HideTWBExt"/>
          <w:rFonts w:eastAsiaTheme="majorEastAsia"/>
          <w:noProof w:val="0"/>
        </w:rPr>
        <w:t>&lt;Original&gt;</w:t>
      </w:r>
      <w:r w:rsidR="008D2113" w:rsidRPr="00175E82">
        <w:rPr>
          <w:rStyle w:val="HideTWBInt"/>
        </w:rPr>
        <w:t>{EN}</w:t>
      </w:r>
      <w:r w:rsidR="008D2113" w:rsidRPr="00175E82">
        <w:t>en</w:t>
      </w:r>
      <w:r w:rsidRPr="00175E82">
        <w:rPr>
          <w:rStyle w:val="HideTWBExt"/>
          <w:rFonts w:eastAsiaTheme="majorEastAsia"/>
          <w:noProof w:val="0"/>
        </w:rPr>
        <w:t>&lt;/Original&gt;</w:t>
      </w:r>
    </w:p>
    <w:p w:rsidR="00B12FD6" w:rsidRPr="00175E82" w:rsidRDefault="00271899" w:rsidP="00B12FD6">
      <w:r w:rsidRPr="00175E82">
        <w:rPr>
          <w:rStyle w:val="HideTWBExt"/>
          <w:noProof w:val="0"/>
        </w:rPr>
        <w:t>&lt;/Amend&gt;</w:t>
      </w:r>
    </w:p>
    <w:p w:rsidR="00945FB7" w:rsidRPr="00175E82" w:rsidRDefault="00271899" w:rsidP="00D050EE">
      <w:pPr>
        <w:pStyle w:val="AmNumberTabs"/>
        <w:keepNext/>
      </w:pPr>
      <w:r w:rsidRPr="00175E82">
        <w:rPr>
          <w:rStyle w:val="HideTWBExt"/>
          <w:b w:val="0"/>
          <w:noProof w:val="0"/>
        </w:rPr>
        <w:t>&lt;Am</w:t>
      </w:r>
      <w:r w:rsidRPr="00175E82">
        <w:rPr>
          <w:rStyle w:val="HideTWBExt"/>
          <w:b w:val="0"/>
          <w:noProof w:val="0"/>
        </w:rPr>
        <w:t>end&gt;</w:t>
      </w:r>
      <w:r w:rsidRPr="00175E82">
        <w:t>Τροπολογία</w:t>
      </w:r>
      <w:r w:rsidRPr="00175E82">
        <w:tab/>
      </w:r>
      <w:r w:rsidRPr="00175E82">
        <w:tab/>
      </w:r>
      <w:r w:rsidRPr="00175E82">
        <w:rPr>
          <w:rStyle w:val="HideTWBExt"/>
          <w:b w:val="0"/>
          <w:noProof w:val="0"/>
        </w:rPr>
        <w:t>&lt;NumAm&gt;</w:t>
      </w:r>
      <w:r w:rsidRPr="00175E82">
        <w:t>40</w:t>
      </w:r>
      <w:r w:rsidRPr="00175E82">
        <w:rPr>
          <w:rStyle w:val="HideTWBExt"/>
          <w:b w:val="0"/>
          <w:noProof w:val="0"/>
        </w:rPr>
        <w:t>&lt;/NumAm&gt;</w:t>
      </w:r>
    </w:p>
    <w:p w:rsidR="00945FB7"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945FB7" w:rsidRPr="00175E82" w:rsidRDefault="00271899" w:rsidP="00D050EE">
      <w:pPr>
        <w:pStyle w:val="NormalBold"/>
        <w:keepNext/>
      </w:pPr>
      <w:r w:rsidRPr="00175E82">
        <w:rPr>
          <w:rStyle w:val="HideTWBExt"/>
          <w:b w:val="0"/>
          <w:noProof w:val="0"/>
        </w:rPr>
        <w:t>&lt;Article&gt;</w:t>
      </w:r>
      <w:r w:rsidRPr="00175E82">
        <w:t>Παράρτημα I – εδάφιο 1 – στοιχείο α – σημείο i</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945FB7" w:rsidRPr="00175E82" w:rsidRDefault="00945FB7" w:rsidP="00DA6ED0">
            <w:pPr>
              <w:keepNext/>
            </w:pPr>
          </w:p>
        </w:tc>
      </w:tr>
      <w:tr w:rsidR="00FC0A79" w:rsidRPr="00175E82" w:rsidTr="002669B6">
        <w:trPr>
          <w:jc w:val="center"/>
        </w:trPr>
        <w:tc>
          <w:tcPr>
            <w:tcW w:w="4876" w:type="dxa"/>
          </w:tcPr>
          <w:p w:rsidR="00945FB7" w:rsidRPr="00175E82" w:rsidRDefault="00271899" w:rsidP="00DA6ED0">
            <w:pPr>
              <w:pStyle w:val="AmColumnHeading"/>
              <w:keepNext/>
            </w:pPr>
            <w:r w:rsidRPr="00175E82">
              <w:t>Κείμενο που προτείνει η Επιτροπή</w:t>
            </w:r>
          </w:p>
        </w:tc>
        <w:tc>
          <w:tcPr>
            <w:tcW w:w="4876" w:type="dxa"/>
          </w:tcPr>
          <w:p w:rsidR="00945FB7"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945FB7" w:rsidRPr="00175E82" w:rsidRDefault="00271899" w:rsidP="00E861B5">
            <w:pPr>
              <w:pStyle w:val="Normal6a"/>
            </w:pPr>
            <w:r w:rsidRPr="00175E82">
              <w:t>i)</w:t>
            </w:r>
            <w:r w:rsidRPr="00175E82">
              <w:tab/>
              <w:t xml:space="preserve">Εκπομπές αερίων του θερμοκηπίου βιομηχανικών εγκαταστάσεων σε </w:t>
            </w:r>
            <w:r w:rsidRPr="00175E82">
              <w:t>περιφέρειες επιπέδου NUTS 2, στις οποίες η ένταση άνθρακα, όπως ορίζεται από την αναλογία των εκπομπών αερίων του θερμοκηπίου των βιομηχανικών εγκαταστάσεων τις οποίες υποβάλλουν τα κράτη μέλη σύμφωνα με το άρθρο 7 του κανονισμού (ΕΚ) αριθ. 166/2006 του Ευ</w:t>
            </w:r>
            <w:r w:rsidRPr="00175E82">
              <w:t>ρωπαϊκού Κοινοβουλίου και του Συμβουλίου</w:t>
            </w:r>
            <w:r w:rsidRPr="00175E82">
              <w:rPr>
                <w:vertAlign w:val="superscript"/>
              </w:rPr>
              <w:t>1</w:t>
            </w:r>
            <w:r w:rsidRPr="00175E82">
              <w:t xml:space="preserve"> προς την ακαθάριστη προστιθέμενη αξία της βιομηχανίας, είναι διπλάσια από τον μέσο όρο της ΕΕ-27. Όταν δεν σημειώνεται υπέρβαση του επιπέδου αυτού σε καμία περιφέρεια επιπέδου NUTS 2 σε δεδομένο κράτος μέλος, λαμβά</w:t>
            </w:r>
            <w:r w:rsidRPr="00175E82">
              <w:t xml:space="preserve">νονται υπόψη οι εκπομπές αερίων του θερμοκηπίου των βιομηχανικών εγκαταστάσεων στην περιφέρεια επιπέδου NUTS 2 με την υψηλότερη ένταση άνθρακα (στάθμιση </w:t>
            </w:r>
            <w:r w:rsidRPr="00175E82">
              <w:rPr>
                <w:b/>
                <w:i/>
              </w:rPr>
              <w:t>49 %</w:t>
            </w:r>
            <w:r w:rsidRPr="00175E82">
              <w:t>),</w:t>
            </w:r>
          </w:p>
        </w:tc>
        <w:tc>
          <w:tcPr>
            <w:tcW w:w="4876" w:type="dxa"/>
          </w:tcPr>
          <w:p w:rsidR="00945FB7" w:rsidRPr="00175E82" w:rsidRDefault="00271899" w:rsidP="008D2113">
            <w:pPr>
              <w:pStyle w:val="Normal6a"/>
              <w:rPr>
                <w:szCs w:val="24"/>
              </w:rPr>
            </w:pPr>
            <w:r w:rsidRPr="00175E82">
              <w:t>i)</w:t>
            </w:r>
            <w:r w:rsidRPr="00175E82">
              <w:tab/>
              <w:t>Εκπομπές αερίων του θερμοκηπίου βιομηχανικών εγκαταστάσεων σε περιφέρειες επιπέδου NUTS 2, στ</w:t>
            </w:r>
            <w:r w:rsidRPr="00175E82">
              <w:t>ις οποίες η ένταση άνθρακα, όπως ορίζεται από την αναλογία των εκπομπών αερίων του θερμοκηπίου των βιομηχανικών εγκαταστάσεων τις οποίες υποβάλλουν τα κράτη μέλη σύμφωνα με το άρθρο 7 του κανονισμού (ΕΚ) αριθ. 166/2006 του Ευρωπαϊκού Κοινοβουλίου και του Σ</w:t>
            </w:r>
            <w:r w:rsidRPr="00175E82">
              <w:t>υμβουλίου</w:t>
            </w:r>
            <w:r w:rsidRPr="00175E82">
              <w:rPr>
                <w:vertAlign w:val="superscript"/>
              </w:rPr>
              <w:t>1</w:t>
            </w:r>
            <w:r w:rsidRPr="00175E82">
              <w:t xml:space="preserve"> προς την ακαθάριστη προστιθέμενη αξία της βιομηχανίας, είναι διπλάσια από τον μέσο όρο της ΕΕ-27. Όταν δεν σημειώνεται υπέρβαση του επιπέδου αυτού σε καμία περιφέρεια επιπέδου NUTS 2 σε δεδομένο κράτος μέλος, λαμβάνονται υπόψη οι εκπομπές αερίων</w:t>
            </w:r>
            <w:r w:rsidRPr="00175E82">
              <w:t xml:space="preserve"> του θερμοκηπίου των βιομηχανικών εγκαταστάσεων στην περιφέρεια επιπέδου NUTS 2 με την υψηλότερη ένταση άνθρακα (στάθμιση </w:t>
            </w:r>
            <w:r w:rsidRPr="00175E82">
              <w:rPr>
                <w:b/>
                <w:i/>
              </w:rPr>
              <w:t>33 %</w:t>
            </w:r>
            <w:r w:rsidRPr="00175E82">
              <w:t>),</w:t>
            </w:r>
          </w:p>
        </w:tc>
      </w:tr>
      <w:tr w:rsidR="00FC0A79" w:rsidRPr="00175E82" w:rsidTr="002669B6">
        <w:trPr>
          <w:jc w:val="center"/>
        </w:trPr>
        <w:tc>
          <w:tcPr>
            <w:tcW w:w="4876" w:type="dxa"/>
          </w:tcPr>
          <w:p w:rsidR="00C76AD6" w:rsidRPr="00175E82" w:rsidRDefault="00271899" w:rsidP="00E861B5">
            <w:pPr>
              <w:pStyle w:val="Normal6a"/>
            </w:pPr>
            <w:r w:rsidRPr="00175E82">
              <w:t>____________________</w:t>
            </w:r>
          </w:p>
        </w:tc>
        <w:tc>
          <w:tcPr>
            <w:tcW w:w="4876" w:type="dxa"/>
          </w:tcPr>
          <w:p w:rsidR="00C76AD6" w:rsidRPr="00175E82" w:rsidRDefault="00271899" w:rsidP="008D2113">
            <w:pPr>
              <w:pStyle w:val="Normal6a"/>
            </w:pPr>
            <w:r w:rsidRPr="00175E82">
              <w:t>__________________</w:t>
            </w:r>
          </w:p>
        </w:tc>
      </w:tr>
      <w:tr w:rsidR="00FC0A79" w:rsidRPr="00175E82" w:rsidTr="002669B6">
        <w:trPr>
          <w:jc w:val="center"/>
        </w:trPr>
        <w:tc>
          <w:tcPr>
            <w:tcW w:w="4876" w:type="dxa"/>
          </w:tcPr>
          <w:p w:rsidR="00C76AD6" w:rsidRPr="00175E82" w:rsidRDefault="00271899" w:rsidP="00E861B5">
            <w:pPr>
              <w:pStyle w:val="Normal6a"/>
            </w:pPr>
            <w:r w:rsidRPr="00175E82">
              <w:rPr>
                <w:vertAlign w:val="superscript"/>
              </w:rPr>
              <w:t>1</w:t>
            </w:r>
            <w:r w:rsidRPr="00175E82">
              <w:t xml:space="preserve"> Κανονισμός (ΕΚ) αριθ. 166/2006 του Ευρωπαϊκού Κοινοβουλίου και του Συμβουλίου, της 18ης Ιανουαρίου 2006, για τη σύσταση ευρωπαϊκού μητρώου έκλυσης και μεταφοράς ρύπων και για την τροποποίηση των οδηγιών 91/689/ΕΟΚ και 96/61/ΕΚ του Συμβουλίου (ΕΕ L 33 της </w:t>
            </w:r>
            <w:r w:rsidRPr="00175E82">
              <w:t xml:space="preserve">4.2.2006, σ. 1).  </w:t>
            </w:r>
          </w:p>
        </w:tc>
        <w:tc>
          <w:tcPr>
            <w:tcW w:w="4876" w:type="dxa"/>
          </w:tcPr>
          <w:p w:rsidR="00C76AD6" w:rsidRPr="00175E82" w:rsidRDefault="00271899" w:rsidP="008D2113">
            <w:pPr>
              <w:pStyle w:val="Normal6a"/>
            </w:pPr>
            <w:r w:rsidRPr="00175E82">
              <w:rPr>
                <w:vertAlign w:val="superscript"/>
              </w:rPr>
              <w:t>1</w:t>
            </w:r>
            <w:r w:rsidRPr="00175E82">
              <w:t xml:space="preserve"> Κανονισμός (ΕΚ) αριθ. 166/2006 του Ευρωπαϊκού Κοινοβουλίου και του Συμβουλίου, της 18ης Ιανουαρίου 2006, για τη σύσταση ευρωπαϊκού μητρώου έκλυσης και μεταφοράς ρύπων και για την τροποποίηση των οδηγιών 91/689/ΕΟΚ και 96/61/ΕΚ του Συμβ</w:t>
            </w:r>
            <w:r w:rsidRPr="00175E82">
              <w:t xml:space="preserve">ουλίου (ΕΕ L 33 της 4.2.2006, σ. 1).  </w:t>
            </w:r>
          </w:p>
        </w:tc>
      </w:tr>
    </w:tbl>
    <w:p w:rsidR="00945FB7"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945FB7" w:rsidRPr="00175E82" w:rsidRDefault="00271899" w:rsidP="00D050EE">
      <w:r w:rsidRPr="00175E82">
        <w:rPr>
          <w:rStyle w:val="HideTWBExt"/>
          <w:noProof w:val="0"/>
        </w:rPr>
        <w:t>&lt;/Amend&gt;</w:t>
      </w:r>
    </w:p>
    <w:p w:rsidR="008D2113"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41</w:t>
      </w:r>
      <w:r w:rsidRPr="00175E82">
        <w:rPr>
          <w:rStyle w:val="HideTWBExt"/>
          <w:b w:val="0"/>
          <w:noProof w:val="0"/>
        </w:rPr>
        <w:t>&lt;/NumAm&gt;</w:t>
      </w:r>
    </w:p>
    <w:p w:rsidR="008D2113"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8D2113" w:rsidRPr="00175E82" w:rsidRDefault="00271899" w:rsidP="000C3448">
      <w:pPr>
        <w:pStyle w:val="NormalBold"/>
        <w:keepNext/>
      </w:pPr>
      <w:r w:rsidRPr="00175E82">
        <w:rPr>
          <w:rStyle w:val="HideTWBExt"/>
          <w:b w:val="0"/>
          <w:noProof w:val="0"/>
        </w:rPr>
        <w:t>&lt;Article&gt;</w:t>
      </w:r>
      <w:r w:rsidRPr="00175E82">
        <w:t>Παράρτημα I – εδάφιο 1 – στοιχείο α – σημείο ii</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8D2113" w:rsidRPr="00175E82" w:rsidRDefault="008D2113" w:rsidP="00DA6ED0">
            <w:pPr>
              <w:keepNext/>
            </w:pPr>
          </w:p>
        </w:tc>
      </w:tr>
      <w:tr w:rsidR="00FC0A79" w:rsidRPr="00175E82" w:rsidTr="002669B6">
        <w:trPr>
          <w:jc w:val="center"/>
        </w:trPr>
        <w:tc>
          <w:tcPr>
            <w:tcW w:w="4876" w:type="dxa"/>
          </w:tcPr>
          <w:p w:rsidR="008D2113" w:rsidRPr="00175E82" w:rsidRDefault="00271899" w:rsidP="00DA6ED0">
            <w:pPr>
              <w:pStyle w:val="AmColumnHeading"/>
              <w:keepNext/>
            </w:pPr>
            <w:r w:rsidRPr="00175E82">
              <w:t xml:space="preserve">Κείμενο που προτείνει η </w:t>
            </w:r>
            <w:r w:rsidRPr="00175E82">
              <w:t>Επιτροπή</w:t>
            </w:r>
          </w:p>
        </w:tc>
        <w:tc>
          <w:tcPr>
            <w:tcW w:w="4876" w:type="dxa"/>
          </w:tcPr>
          <w:p w:rsidR="008D2113"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8D2113" w:rsidRPr="00175E82" w:rsidRDefault="00271899" w:rsidP="002669B6">
            <w:pPr>
              <w:pStyle w:val="Normal6a"/>
            </w:pPr>
            <w:r w:rsidRPr="00175E82">
              <w:t>ii)</w:t>
            </w:r>
            <w:r w:rsidRPr="00175E82">
              <w:tab/>
              <w:t xml:space="preserve">Απασχόληση στον κλάδο της εξόρυξης άνθρακα και λιγνίτη (στάθμιση </w:t>
            </w:r>
            <w:r w:rsidRPr="00175E82">
              <w:rPr>
                <w:b/>
                <w:i/>
              </w:rPr>
              <w:t>25 %</w:t>
            </w:r>
            <w:r w:rsidRPr="00175E82">
              <w:t>),</w:t>
            </w:r>
          </w:p>
        </w:tc>
        <w:tc>
          <w:tcPr>
            <w:tcW w:w="4876" w:type="dxa"/>
          </w:tcPr>
          <w:p w:rsidR="008D2113" w:rsidRPr="00175E82" w:rsidRDefault="00271899" w:rsidP="008D2113">
            <w:pPr>
              <w:pStyle w:val="Normal6a"/>
              <w:rPr>
                <w:szCs w:val="24"/>
              </w:rPr>
            </w:pPr>
            <w:r w:rsidRPr="00175E82">
              <w:t>ii)</w:t>
            </w:r>
            <w:r w:rsidRPr="00175E82">
              <w:tab/>
              <w:t xml:space="preserve">Απασχόληση στον κλάδο της εξόρυξης άνθρακα και λιγνίτη </w:t>
            </w:r>
            <w:r w:rsidRPr="00175E82">
              <w:rPr>
                <w:b/>
                <w:i/>
              </w:rPr>
              <w:t>ως ποσοστό επί του συνολικού βιομηχανικού εργατικού δυναμικού κάθε περιφέρειας</w:t>
            </w:r>
            <w:r w:rsidRPr="00175E82">
              <w:t xml:space="preserve"> (στάθμιση </w:t>
            </w:r>
            <w:r w:rsidRPr="00175E82">
              <w:rPr>
                <w:b/>
                <w:i/>
              </w:rPr>
              <w:t>33 %</w:t>
            </w:r>
            <w:r w:rsidRPr="00175E82">
              <w:t>),</w:t>
            </w:r>
          </w:p>
        </w:tc>
      </w:tr>
    </w:tbl>
    <w:p w:rsidR="008D2113"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8D2113" w:rsidRPr="00175E82" w:rsidRDefault="00271899" w:rsidP="000C3448">
      <w:r w:rsidRPr="00175E82">
        <w:rPr>
          <w:rStyle w:val="HideTWBExt"/>
          <w:noProof w:val="0"/>
        </w:rPr>
        <w:t>&lt;/Amend&gt;</w:t>
      </w:r>
    </w:p>
    <w:p w:rsidR="004309FA"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42</w:t>
      </w:r>
      <w:r w:rsidRPr="00175E82">
        <w:rPr>
          <w:rStyle w:val="HideTWBExt"/>
          <w:b w:val="0"/>
          <w:noProof w:val="0"/>
        </w:rPr>
        <w:t>&lt;/NumAm&gt;</w:t>
      </w:r>
    </w:p>
    <w:p w:rsidR="004309FA"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4309FA" w:rsidRPr="00175E82" w:rsidRDefault="00271899" w:rsidP="00D050EE">
      <w:pPr>
        <w:pStyle w:val="NormalBold"/>
        <w:keepNext/>
      </w:pPr>
      <w:r w:rsidRPr="00175E82">
        <w:rPr>
          <w:rStyle w:val="HideTWBExt"/>
          <w:b w:val="0"/>
          <w:noProof w:val="0"/>
        </w:rPr>
        <w:t>&lt;Article&gt;</w:t>
      </w:r>
      <w:r w:rsidRPr="00175E82">
        <w:t>Παράρτημα I – εδάφιο 1 – στοιχείο α – σημείο v α (νέο)</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4309FA" w:rsidRPr="00175E82" w:rsidRDefault="004309FA" w:rsidP="00DA6ED0">
            <w:pPr>
              <w:keepNext/>
            </w:pPr>
          </w:p>
        </w:tc>
      </w:tr>
      <w:tr w:rsidR="00FC0A79" w:rsidRPr="00175E82" w:rsidTr="002669B6">
        <w:trPr>
          <w:jc w:val="center"/>
        </w:trPr>
        <w:tc>
          <w:tcPr>
            <w:tcW w:w="4876" w:type="dxa"/>
          </w:tcPr>
          <w:p w:rsidR="004309FA" w:rsidRPr="00175E82" w:rsidRDefault="00271899" w:rsidP="00DA6ED0">
            <w:pPr>
              <w:pStyle w:val="AmColumnHeading"/>
              <w:keepNext/>
            </w:pPr>
            <w:r w:rsidRPr="00175E82">
              <w:t>Κείμενο που προτείνει η Επιτροπή</w:t>
            </w:r>
          </w:p>
        </w:tc>
        <w:tc>
          <w:tcPr>
            <w:tcW w:w="4876" w:type="dxa"/>
          </w:tcPr>
          <w:p w:rsidR="004309FA"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4309FA" w:rsidRPr="00175E82" w:rsidRDefault="004309FA" w:rsidP="002669B6">
            <w:pPr>
              <w:pStyle w:val="Normal6a"/>
            </w:pPr>
          </w:p>
        </w:tc>
        <w:tc>
          <w:tcPr>
            <w:tcW w:w="4876" w:type="dxa"/>
          </w:tcPr>
          <w:p w:rsidR="004309FA" w:rsidRPr="00175E82" w:rsidRDefault="00271899" w:rsidP="00D12C12">
            <w:pPr>
              <w:pStyle w:val="Normal6a"/>
              <w:rPr>
                <w:b/>
                <w:i/>
                <w:szCs w:val="24"/>
              </w:rPr>
            </w:pPr>
            <w:r w:rsidRPr="00175E82">
              <w:rPr>
                <w:b/>
                <w:i/>
              </w:rPr>
              <w:t xml:space="preserve">v α) </w:t>
            </w:r>
            <w:r w:rsidRPr="00175E82">
              <w:rPr>
                <w:b/>
                <w:i/>
              </w:rPr>
              <w:tab/>
              <w:t xml:space="preserve">Πληθυσμός </w:t>
            </w:r>
            <w:r w:rsidRPr="00175E82">
              <w:rPr>
                <w:b/>
                <w:i/>
              </w:rPr>
              <w:t>που κατοικεί σε νησιωτικές ή απομακρυσμένες περιοχές οι οποίες εξαρτώνται από αυτόνομες γεννήτριες ντίζελ ή πετρελαίου για την παραγωγή ηλεκτρικής ενέργειας (στάθμιση 2 %)·</w:t>
            </w:r>
          </w:p>
        </w:tc>
      </w:tr>
    </w:tbl>
    <w:p w:rsidR="004309FA"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4309FA" w:rsidRPr="00175E82" w:rsidRDefault="00271899" w:rsidP="00D050EE">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4309FA" w:rsidRPr="00175E82" w:rsidRDefault="00271899" w:rsidP="00D050EE">
      <w:pPr>
        <w:pStyle w:val="AmJustText"/>
      </w:pPr>
      <w:r w:rsidRPr="00175E82">
        <w:t>Η τροπολογία αυ</w:t>
      </w:r>
      <w:r w:rsidRPr="00175E82">
        <w:t>τή προσθέτει ένα νέο κριτήριο στη μέθοδο κατανομής των πόρων του ΤΔΜ. Προτείνεται να χορηγηθεί μια μικρή αύξηση στα κράτη μέλη που είναι αρμόδια για νησιωτικές ή απομακρυσμένες περιοχές οι οποίες εξαρτώνται από γεννήτριες ντίζελ ή πετρελαίου για την παραγω</w:t>
      </w:r>
      <w:r w:rsidRPr="00175E82">
        <w:t>γή ηλεκτρικής ενέργειας, δεδομένου ότι οι περιοχές αυτές δεν είναι συνδεδεμένες με το γενικό δίκτυο ηλεκτρικής ενέργειας της ηπειρωτικής Ευρώπης και, κατά συνέπεια, η μετάβαση στην πράσινη ενέργεια είναι ιδιαίτερα επίπονη και δαπανηρή. Οι συντελεστές στάθμ</w:t>
      </w:r>
      <w:r w:rsidRPr="00175E82">
        <w:t xml:space="preserve">ισης των κριτηρίων που αναφέρονται στα υπόλοιπα στοιχεία πρέπει να μειωθούν αναλόγως. </w:t>
      </w:r>
    </w:p>
    <w:p w:rsidR="004309FA" w:rsidRPr="00175E82" w:rsidRDefault="00271899" w:rsidP="00D050EE">
      <w:r w:rsidRPr="00175E82">
        <w:rPr>
          <w:rStyle w:val="HideTWBExt"/>
          <w:noProof w:val="0"/>
        </w:rPr>
        <w:t>&lt;/Amend&gt;</w:t>
      </w:r>
    </w:p>
    <w:p w:rsidR="00D12C12" w:rsidRPr="00175E82" w:rsidRDefault="00271899" w:rsidP="000C3448">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43</w:t>
      </w:r>
      <w:r w:rsidRPr="00175E82">
        <w:rPr>
          <w:rStyle w:val="HideTWBExt"/>
          <w:b w:val="0"/>
          <w:noProof w:val="0"/>
        </w:rPr>
        <w:t>&lt;/NumAm&gt;</w:t>
      </w:r>
    </w:p>
    <w:p w:rsidR="00D12C12" w:rsidRPr="00175E82" w:rsidRDefault="00271899" w:rsidP="000C3448">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D12C12" w:rsidRPr="00175E82" w:rsidRDefault="00271899" w:rsidP="000C3448">
      <w:pPr>
        <w:pStyle w:val="NormalBold"/>
        <w:keepNext/>
      </w:pPr>
      <w:r w:rsidRPr="00175E82">
        <w:rPr>
          <w:rStyle w:val="HideTWBExt"/>
          <w:b w:val="0"/>
          <w:noProof w:val="0"/>
        </w:rPr>
        <w:t>&lt;Article&gt;</w:t>
      </w:r>
      <w:r w:rsidRPr="00175E82">
        <w:t>Παράρτημα I – εδάφιο 1 – στοιχείο α – σημείο v β (νέο)</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D12C12" w:rsidRPr="00175E82" w:rsidRDefault="00D12C12" w:rsidP="00DA6ED0">
            <w:pPr>
              <w:keepNext/>
            </w:pPr>
          </w:p>
        </w:tc>
      </w:tr>
      <w:tr w:rsidR="00FC0A79" w:rsidRPr="00175E82" w:rsidTr="002669B6">
        <w:trPr>
          <w:jc w:val="center"/>
        </w:trPr>
        <w:tc>
          <w:tcPr>
            <w:tcW w:w="4876" w:type="dxa"/>
          </w:tcPr>
          <w:p w:rsidR="00D12C12" w:rsidRPr="00175E82" w:rsidRDefault="00271899" w:rsidP="00DA6ED0">
            <w:pPr>
              <w:pStyle w:val="AmColumnHeading"/>
              <w:keepNext/>
            </w:pPr>
            <w:r w:rsidRPr="00175E82">
              <w:t>Κείμενο</w:t>
            </w:r>
            <w:r w:rsidRPr="00175E82">
              <w:t xml:space="preserve"> που προτείνει η Επιτροπή</w:t>
            </w:r>
          </w:p>
        </w:tc>
        <w:tc>
          <w:tcPr>
            <w:tcW w:w="4876" w:type="dxa"/>
          </w:tcPr>
          <w:p w:rsidR="00D12C12"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D12C12" w:rsidRPr="00175E82" w:rsidRDefault="00D12C12" w:rsidP="002669B6">
            <w:pPr>
              <w:pStyle w:val="Normal6a"/>
            </w:pPr>
          </w:p>
        </w:tc>
        <w:tc>
          <w:tcPr>
            <w:tcW w:w="4876" w:type="dxa"/>
          </w:tcPr>
          <w:p w:rsidR="00D12C12" w:rsidRPr="00175E82" w:rsidRDefault="00271899" w:rsidP="00B41754">
            <w:pPr>
              <w:pStyle w:val="Normal6a"/>
              <w:rPr>
                <w:b/>
                <w:bCs/>
                <w:i/>
                <w:iCs/>
              </w:rPr>
            </w:pPr>
            <w:r w:rsidRPr="00175E82">
              <w:rPr>
                <w:b/>
                <w:bCs/>
                <w:i/>
                <w:iCs/>
              </w:rPr>
              <w:t>v β) Ταχύτητα με την οποία τα κράτη μέλη δεσμεύονται να μειώσουν τις εκπομπές αερίων του θερμοκηπίου από άνθρακα ή λιγνίτη, όπως αποτυπώνεται στα αντίστοιχα εθνικά σχέδια για την ενέργεια και το κλίμα για το 2030 (στά</w:t>
            </w:r>
            <w:r w:rsidRPr="00175E82">
              <w:rPr>
                <w:b/>
                <w:bCs/>
                <w:i/>
                <w:iCs/>
              </w:rPr>
              <w:t>θμιση 6 %)·</w:t>
            </w:r>
          </w:p>
        </w:tc>
      </w:tr>
    </w:tbl>
    <w:p w:rsidR="00D12C12" w:rsidRPr="00175E82" w:rsidRDefault="00271899" w:rsidP="000C3448">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5E7BE1" w:rsidRPr="00175E82" w:rsidRDefault="00271899" w:rsidP="005E7BE1">
      <w:pPr>
        <w:pStyle w:val="AmJustTitle"/>
      </w:pPr>
      <w:r w:rsidRPr="00175E82">
        <w:rPr>
          <w:rStyle w:val="HideTWBExt"/>
          <w:i w:val="0"/>
          <w:noProof w:val="0"/>
        </w:rPr>
        <w:t>&lt;TitreJust&gt;</w:t>
      </w:r>
      <w:r w:rsidRPr="00175E82">
        <w:t>Αιτιολόγηση</w:t>
      </w:r>
      <w:r w:rsidRPr="00175E82">
        <w:rPr>
          <w:rStyle w:val="HideTWBExt"/>
          <w:i w:val="0"/>
          <w:noProof w:val="0"/>
        </w:rPr>
        <w:t>&lt;/TitreJust&gt;</w:t>
      </w:r>
    </w:p>
    <w:p w:rsidR="005E7BE1" w:rsidRPr="00175E82" w:rsidRDefault="00271899" w:rsidP="005E7BE1">
      <w:pPr>
        <w:pStyle w:val="AmJustText"/>
      </w:pPr>
      <w:r w:rsidRPr="00175E82">
        <w:t xml:space="preserve">Η τροπολογία αυτή προσθέτει ένα νέο κριτήριο στη μέθοδο κατανομής των πόρων του ΤΔΜ, προτείνοντας να χορηγηθεί αύξηση στα κράτη μέλη τα οποία, στο πλαίσιο του σχεδίου ΕΣΕΚ, </w:t>
      </w:r>
      <w:r w:rsidRPr="00175E82">
        <w:t>δεσμεύονται να συνεισφέρουν σε βαθμό που υπερβαίνει το ελάχιστο απαιτούμενο επίπεδο φιλοδοξίας.</w:t>
      </w:r>
    </w:p>
    <w:p w:rsidR="00D12C12" w:rsidRPr="00175E82" w:rsidRDefault="00271899" w:rsidP="000C3448">
      <w:r w:rsidRPr="00175E82">
        <w:rPr>
          <w:rStyle w:val="HideTWBExt"/>
          <w:noProof w:val="0"/>
        </w:rPr>
        <w:t>&lt;/Amend&gt;</w:t>
      </w:r>
    </w:p>
    <w:p w:rsidR="00AC7988" w:rsidRPr="00175E82" w:rsidRDefault="00271899" w:rsidP="00D050EE">
      <w:pPr>
        <w:pStyle w:val="AmNumberTabs"/>
        <w:keepNext/>
      </w:pPr>
      <w:r w:rsidRPr="00175E82">
        <w:rPr>
          <w:rStyle w:val="HideTWBExt"/>
          <w:b w:val="0"/>
          <w:noProof w:val="0"/>
        </w:rPr>
        <w:t>&lt;Amend&gt;</w:t>
      </w:r>
      <w:r w:rsidRPr="00175E82">
        <w:t>Τροπολογία</w:t>
      </w:r>
      <w:r w:rsidRPr="00175E82">
        <w:tab/>
      </w:r>
      <w:r w:rsidRPr="00175E82">
        <w:tab/>
      </w:r>
      <w:r w:rsidRPr="00175E82">
        <w:rPr>
          <w:rStyle w:val="HideTWBExt"/>
          <w:b w:val="0"/>
          <w:noProof w:val="0"/>
        </w:rPr>
        <w:t>&lt;NumAm&gt;</w:t>
      </w:r>
      <w:r w:rsidRPr="00175E82">
        <w:t>44</w:t>
      </w:r>
      <w:r w:rsidRPr="00175E82">
        <w:rPr>
          <w:rStyle w:val="HideTWBExt"/>
          <w:b w:val="0"/>
          <w:noProof w:val="0"/>
        </w:rPr>
        <w:t>&lt;/NumAm&gt;</w:t>
      </w:r>
    </w:p>
    <w:p w:rsidR="00AC7988" w:rsidRPr="00175E82" w:rsidRDefault="00271899" w:rsidP="00D050EE">
      <w:pPr>
        <w:pStyle w:val="NormalBold12b"/>
        <w:keepNext/>
      </w:pPr>
      <w:r w:rsidRPr="00175E82">
        <w:rPr>
          <w:rStyle w:val="HideTWBExt"/>
          <w:b w:val="0"/>
          <w:noProof w:val="0"/>
        </w:rPr>
        <w:t>&lt;DocAmend&gt;</w:t>
      </w:r>
      <w:r w:rsidRPr="00175E82">
        <w:t>Πρόταση κανονισμού</w:t>
      </w:r>
      <w:r w:rsidRPr="00175E82">
        <w:rPr>
          <w:rStyle w:val="HideTWBExt"/>
          <w:b w:val="0"/>
          <w:noProof w:val="0"/>
        </w:rPr>
        <w:t>&lt;/DocAmend&gt;</w:t>
      </w:r>
    </w:p>
    <w:p w:rsidR="00AC7988" w:rsidRPr="00175E82" w:rsidRDefault="00271899" w:rsidP="00D050EE">
      <w:pPr>
        <w:pStyle w:val="NormalBold"/>
        <w:keepNext/>
      </w:pPr>
      <w:r w:rsidRPr="00175E82">
        <w:rPr>
          <w:rStyle w:val="HideTWBExt"/>
          <w:b w:val="0"/>
          <w:noProof w:val="0"/>
        </w:rPr>
        <w:t>&lt;Article&gt;</w:t>
      </w:r>
      <w:r w:rsidRPr="00175E82">
        <w:t>Παράρτημα I – εδάφιο 1 – στοιχείο β</w:t>
      </w:r>
      <w:r w:rsidRPr="00175E82">
        <w:rPr>
          <w:rStyle w:val="HideTWBExt"/>
          <w:b w:val="0"/>
          <w:noProof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C0A79" w:rsidRPr="00175E82" w:rsidTr="002669B6">
        <w:trPr>
          <w:jc w:val="center"/>
        </w:trPr>
        <w:tc>
          <w:tcPr>
            <w:tcW w:w="9752" w:type="dxa"/>
            <w:gridSpan w:val="2"/>
          </w:tcPr>
          <w:p w:rsidR="00AC7988" w:rsidRPr="00175E82" w:rsidRDefault="00AC7988" w:rsidP="00DA6ED0">
            <w:pPr>
              <w:keepNext/>
            </w:pPr>
          </w:p>
        </w:tc>
      </w:tr>
      <w:tr w:rsidR="00FC0A79" w:rsidRPr="00175E82" w:rsidTr="002669B6">
        <w:trPr>
          <w:jc w:val="center"/>
        </w:trPr>
        <w:tc>
          <w:tcPr>
            <w:tcW w:w="4876" w:type="dxa"/>
          </w:tcPr>
          <w:p w:rsidR="00AC7988" w:rsidRPr="00175E82" w:rsidRDefault="00271899" w:rsidP="00DA6ED0">
            <w:pPr>
              <w:pStyle w:val="AmColumnHeading"/>
              <w:keepNext/>
            </w:pPr>
            <w:r w:rsidRPr="00175E82">
              <w:t xml:space="preserve">Κείμενο που </w:t>
            </w:r>
            <w:r w:rsidRPr="00175E82">
              <w:t>προτείνει η Επιτροπή</w:t>
            </w:r>
          </w:p>
        </w:tc>
        <w:tc>
          <w:tcPr>
            <w:tcW w:w="4876" w:type="dxa"/>
          </w:tcPr>
          <w:p w:rsidR="00AC7988" w:rsidRPr="00175E82" w:rsidRDefault="00271899" w:rsidP="00DA6ED0">
            <w:pPr>
              <w:pStyle w:val="AmColumnHeading"/>
              <w:keepNext/>
            </w:pPr>
            <w:r w:rsidRPr="00175E82">
              <w:t>Τροπολογία</w:t>
            </w:r>
          </w:p>
        </w:tc>
      </w:tr>
      <w:tr w:rsidR="00FC0A79" w:rsidRPr="00175E82" w:rsidTr="002669B6">
        <w:trPr>
          <w:jc w:val="center"/>
        </w:trPr>
        <w:tc>
          <w:tcPr>
            <w:tcW w:w="4876" w:type="dxa"/>
          </w:tcPr>
          <w:p w:rsidR="00AC7988" w:rsidRPr="00175E82" w:rsidRDefault="00271899" w:rsidP="002669B6">
            <w:pPr>
              <w:pStyle w:val="Normal6a"/>
            </w:pPr>
            <w:r w:rsidRPr="00175E82">
              <w:t>β)</w:t>
            </w:r>
            <w:r w:rsidRPr="00175E82">
              <w:tab/>
              <w:t xml:space="preserve">Τα κονδύλια που προκύπτουν από την εφαρμογή του στοιχείου α) προσαρμόζονται ώστε να διασφαλίζεται ότι κανένα κράτος μέλος δεν λαμβάνει ποσό που υπερβαίνει </w:t>
            </w:r>
            <w:r w:rsidRPr="00175E82">
              <w:rPr>
                <w:b/>
                <w:i/>
              </w:rPr>
              <w:t>τα 2 δισ. EUR</w:t>
            </w:r>
            <w:r w:rsidRPr="00175E82">
              <w:t xml:space="preserve">. Τα ποσά που υπερβαίνουν </w:t>
            </w:r>
            <w:r w:rsidRPr="00175E82">
              <w:rPr>
                <w:b/>
                <w:i/>
              </w:rPr>
              <w:t>τα 2 δισ. EUR</w:t>
            </w:r>
            <w:r w:rsidRPr="00175E82">
              <w:t xml:space="preserve"> ανά κράτος μ</w:t>
            </w:r>
            <w:r w:rsidRPr="00175E82">
              <w:t>έλος ανακατανέμονται κατ’ αναλογία προς τα κονδύλια όλων των υπολοίπων κρατών μελών. Τα μερίδια των κρατών μελών υπολογίζονται εκ νέου αναλόγως·</w:t>
            </w:r>
          </w:p>
        </w:tc>
        <w:tc>
          <w:tcPr>
            <w:tcW w:w="4876" w:type="dxa"/>
          </w:tcPr>
          <w:p w:rsidR="00AC7988" w:rsidRPr="00175E82" w:rsidRDefault="00271899" w:rsidP="00D12C12">
            <w:pPr>
              <w:pStyle w:val="Normal6a"/>
              <w:rPr>
                <w:b/>
                <w:i/>
                <w:szCs w:val="24"/>
              </w:rPr>
            </w:pPr>
            <w:r w:rsidRPr="00175E82">
              <w:t>β)</w:t>
            </w:r>
            <w:r w:rsidRPr="00175E82">
              <w:tab/>
              <w:t>Τα κονδύλια που προκύπτουν από την εφαρμογή του στοιχείου α) προσαρμόζονται ώστε να διασφαλίζεται ότι κανένα</w:t>
            </w:r>
            <w:r w:rsidRPr="00175E82">
              <w:t xml:space="preserve"> κράτος μέλος δεν λαμβάνει ποσό που υπερβαίνει </w:t>
            </w:r>
            <w:r w:rsidRPr="00175E82">
              <w:rPr>
                <w:b/>
                <w:i/>
              </w:rPr>
              <w:t>το</w:t>
            </w:r>
            <w:r w:rsidRPr="00175E82">
              <w:rPr>
                <w:b/>
              </w:rPr>
              <w:t xml:space="preserve"> </w:t>
            </w:r>
            <w:r w:rsidRPr="00175E82">
              <w:rPr>
                <w:b/>
                <w:i/>
              </w:rPr>
              <w:t>27 %</w:t>
            </w:r>
            <w:r w:rsidRPr="00175E82">
              <w:rPr>
                <w:b/>
              </w:rPr>
              <w:t xml:space="preserve"> </w:t>
            </w:r>
            <w:r w:rsidRPr="00175E82">
              <w:rPr>
                <w:b/>
                <w:i/>
              </w:rPr>
              <w:t>του αρχικού κεφαλαίου που αναφέρεται στο άρθρο 3 παράγραφος 2</w:t>
            </w:r>
            <w:r w:rsidRPr="00175E82">
              <w:t xml:space="preserve">. Τα ποσά που υπερβαίνουν </w:t>
            </w:r>
            <w:r w:rsidRPr="00175E82">
              <w:rPr>
                <w:b/>
                <w:i/>
              </w:rPr>
              <w:t>το</w:t>
            </w:r>
            <w:r w:rsidRPr="00175E82">
              <w:t xml:space="preserve"> </w:t>
            </w:r>
            <w:r w:rsidRPr="00175E82">
              <w:rPr>
                <w:b/>
                <w:i/>
              </w:rPr>
              <w:t>27 %</w:t>
            </w:r>
            <w:r w:rsidRPr="00175E82">
              <w:t xml:space="preserve"> ανά κράτος μέλος ανακατανέμονται κατ’ αναλογία προς τα κονδύλια όλων των υπολοίπων κρατών μελών. Τα μερίδι</w:t>
            </w:r>
            <w:r w:rsidRPr="00175E82">
              <w:t>α των κρατών μελών υπολογίζονται εκ νέου αναλόγως·</w:t>
            </w:r>
          </w:p>
        </w:tc>
      </w:tr>
    </w:tbl>
    <w:p w:rsidR="00AC7988" w:rsidRPr="00175E82" w:rsidRDefault="00271899" w:rsidP="00D050EE">
      <w:pPr>
        <w:pStyle w:val="AmOrLang"/>
      </w:pPr>
      <w:r w:rsidRPr="00175E82">
        <w:t xml:space="preserve">Or. </w:t>
      </w:r>
      <w:r w:rsidRPr="00175E82">
        <w:rPr>
          <w:rStyle w:val="HideTWBExt"/>
          <w:rFonts w:eastAsiaTheme="majorEastAsia"/>
          <w:noProof w:val="0"/>
        </w:rPr>
        <w:t>&lt;Original&gt;</w:t>
      </w:r>
      <w:r w:rsidRPr="00175E82">
        <w:rPr>
          <w:rStyle w:val="HideTWBInt"/>
        </w:rPr>
        <w:t>{EN}</w:t>
      </w:r>
      <w:r w:rsidRPr="00175E82">
        <w:t>en</w:t>
      </w:r>
      <w:r w:rsidRPr="00175E82">
        <w:rPr>
          <w:rStyle w:val="HideTWBExt"/>
          <w:rFonts w:eastAsiaTheme="majorEastAsia"/>
          <w:noProof w:val="0"/>
        </w:rPr>
        <w:t>&lt;/Original&gt;</w:t>
      </w:r>
    </w:p>
    <w:p w:rsidR="00AC7988" w:rsidRPr="00175E82" w:rsidRDefault="00271899" w:rsidP="00D050EE">
      <w:r w:rsidRPr="00175E82">
        <w:rPr>
          <w:rStyle w:val="HideTWBExt"/>
          <w:noProof w:val="0"/>
        </w:rPr>
        <w:t>&lt;/Amend&gt;</w:t>
      </w:r>
    </w:p>
    <w:p w:rsidR="002669B6" w:rsidRPr="00175E82" w:rsidRDefault="00271899" w:rsidP="002669B6">
      <w:r w:rsidRPr="00175E82">
        <w:rPr>
          <w:rStyle w:val="HideTWBExt"/>
          <w:noProof w:val="0"/>
        </w:rPr>
        <w:t>&lt;/RepeatBlock-Amend&gt;</w:t>
      </w:r>
    </w:p>
    <w:p w:rsidR="004309FA" w:rsidRPr="00175E82" w:rsidRDefault="004309FA" w:rsidP="002669B6">
      <w:pPr>
        <w:sectPr w:rsidR="004309FA" w:rsidRPr="00175E82" w:rsidSect="00175E82">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6" w:h="16838" w:code="9"/>
          <w:pgMar w:top="1134" w:right="1418" w:bottom="1418" w:left="1418" w:header="1134" w:footer="567" w:gutter="0"/>
          <w:cols w:space="720"/>
          <w:noEndnote/>
          <w:titlePg/>
        </w:sectPr>
      </w:pPr>
    </w:p>
    <w:p w:rsidR="002669B6" w:rsidRPr="00175E82" w:rsidRDefault="00271899" w:rsidP="004309FA">
      <w:pPr>
        <w:pStyle w:val="PageHeading"/>
      </w:pPr>
      <w:bookmarkStart w:id="3" w:name="_Toc37772114"/>
      <w:r w:rsidRPr="00175E82">
        <w:t>ΑΙΤΙΟΛΟΓΙΚΗ ΕΚΘΕΣΗ</w:t>
      </w:r>
      <w:bookmarkEnd w:id="3"/>
    </w:p>
    <w:p w:rsidR="00D87352" w:rsidRPr="00175E82" w:rsidRDefault="00271899" w:rsidP="00D87352">
      <w:pPr>
        <w:rPr>
          <w:b/>
        </w:rPr>
      </w:pPr>
      <w:r w:rsidRPr="00175E82">
        <w:rPr>
          <w:b/>
        </w:rPr>
        <w:t>Α. Εισαγωγή</w:t>
      </w:r>
    </w:p>
    <w:p w:rsidR="00D87352" w:rsidRPr="00175E82" w:rsidRDefault="00D87352" w:rsidP="00D87352"/>
    <w:p w:rsidR="00D87352" w:rsidRPr="00175E82" w:rsidRDefault="00271899" w:rsidP="00D87352">
      <w:r w:rsidRPr="00175E82">
        <w:t>Σύμφωνα με τις νομοθετικές προτάσεις που διέπουν τη χρήση της χρηματοδότησης στο πλαίσιο της πολιτικής για τη συνοχή την περίοδο 2021-2027, ένας από τους κύριους στόχους που θα κατευθύνουν τις επενδύσεις της ΕΕ θα είναι «μια πιο πράσινη Ευρώπη με χαμηλές ε</w:t>
      </w:r>
      <w:r w:rsidRPr="00175E82">
        <w:t>κπομπές διοξειδίου του άνθρακα, μέσω της προώθησης της δίκαιης μετάβασης σε καθαρές μορφές ενέργειας, των πράσινων και μπλε επενδύσεων, της κυκλικής οικονομίας, της προσαρμογής στην κλιματική αλλαγή, της πρόληψης και της διαχείρισης των κινδύνων». Αυτό εξυ</w:t>
      </w:r>
      <w:r w:rsidRPr="00175E82">
        <w:t xml:space="preserve">πηρετεί την εφαρμογή της συμφωνίας του Παρισιού. Επιπλέον, το 25 % των συνολικών δαπανών του ΠΔΠ προορίζεται για δραστηριότητες που σχετίζονται με το κλίμα. </w:t>
      </w:r>
    </w:p>
    <w:p w:rsidR="00D87352" w:rsidRPr="00175E82" w:rsidRDefault="00D87352" w:rsidP="00D87352"/>
    <w:p w:rsidR="00D87352" w:rsidRPr="00175E82" w:rsidRDefault="00271899" w:rsidP="00D87352">
      <w:r w:rsidRPr="00175E82">
        <w:t>Η Ευρωπαϊκή Πράσινη Συμφωνία ενισχύει ακόμη περισσότερο τη δέσμευση της ΕΕ για ένα πιο πράσινο μέ</w:t>
      </w:r>
      <w:r w:rsidRPr="00175E82">
        <w:t xml:space="preserve">λλον, χαράσσοντας μια νέα αναπτυξιακή πολιτική για την Ευρώπη, η οποία βασίζεται στον φιλόδοξο στόχο της επίτευξης κλιματικής ουδετερότητας έως το 2050, στόχος που εγκρίθηκε από το Ευρωπαϊκό Συμβούλιο στις 12 Δεκεμβρίου 2019. </w:t>
      </w:r>
    </w:p>
    <w:p w:rsidR="00D87352" w:rsidRPr="00175E82" w:rsidRDefault="00D87352" w:rsidP="00D87352"/>
    <w:p w:rsidR="00D87352" w:rsidRPr="00175E82" w:rsidRDefault="00271899" w:rsidP="00D87352">
      <w:r w:rsidRPr="00175E82">
        <w:t>Ωστόσο, η πορεία προς μια πρ</w:t>
      </w:r>
      <w:r w:rsidRPr="00175E82">
        <w:t>άσινη οικονομία και κλιματική ουδετερότητα, χαρακτηρίζεται από ιδιαίτερες δυσκολίες τις οποίες πρέπει να αντιμετωπίσουμε επειγόντως. Για παράδειγμα, υπάρχει μεγάλος αριθμός περιφερειών που εξακολουθούν να εξαρτώνται από βιομηχανικές διεργασίες έντασης ορυκ</w:t>
      </w:r>
      <w:r w:rsidRPr="00175E82">
        <w:t xml:space="preserve">τών καυσίμων ή εκπομπών αερίων του θερμοκηπίου. Η μετάβαση των περιφερειών αυτών σε μια κλιματικά ουδέτερη οικονομία συνιστά, συνεπώς, τεράστια πρόκληση. Οι οικονομικές δραστηριότητες έντασης εκπομπών αερίων του θερμοκηπίου ή οι οικονομικές δραστηριότητες </w:t>
      </w:r>
      <w:r w:rsidRPr="00175E82">
        <w:t>που βασίζονται στην παραγωγή και χρήση ορυκτών καυσίμων, όπως για παράδειγμα άνθρακα και λιγνίτη, θα πρέπει αναπόφευκτα να περιοριστούν από άποψη επιπέδων τόσο οικονομικής παραγωγής όσο και απασχόλησης. Άλλοι τομείς με υψηλά επίπεδα εκπομπών αερίων του θερ</w:t>
      </w:r>
      <w:r w:rsidRPr="00175E82">
        <w:t>μοκηπίου θα χρειαστεί να εγκαταλείψουν τις διεργασίες υψηλής έντασης άνθρακα: θα χρειαστεί να μετασχηματιστούν. Επιπλέον, ορισμένες θέσεις εργασίας, που εξαρτώνται έμμεσα από τις προαναφερθείσες δραστηριότητες, θα πρέπει τώρα επίσης να μετασχηματιστούν ή ν</w:t>
      </w:r>
      <w:r w:rsidRPr="00175E82">
        <w:t>α πάψουν να υφίστανται. Όλες αυτές οι αλλαγές θα έχουν άμεσο αντίκτυπο στις ζωές των ανθρώπων, είναι δε αναπόφευκτη η δημιουργία ενός ευρέος φάσματος κοινωνικών προκλήσεων.</w:t>
      </w:r>
    </w:p>
    <w:p w:rsidR="00D87352" w:rsidRPr="00175E82" w:rsidRDefault="00D87352" w:rsidP="00D87352"/>
    <w:p w:rsidR="00D87352" w:rsidRPr="00175E82" w:rsidRDefault="00271899" w:rsidP="00D87352">
      <w:r w:rsidRPr="00175E82">
        <w:t>Για τους λόγους αυτούς, ο εισηγητής εκφράζει τη μεγάλη ικανοποίησή του για το γεγο</w:t>
      </w:r>
      <w:r w:rsidRPr="00175E82">
        <w:t>νός ότι, υποβάλλοντας χωριστό, νέο σχέδιο κανονισμού για τη θέσπιση ενός Ταμείου Δίκαιης Μετάβασης στην περίοδο χρηματοδότησης μετά το 2020, η Επιτροπή έδωσε ιδιαίτερη προσοχή σε αυτές τις κοινωνικές, οικονομικές και περιβαλλοντικές προκλήσεις και επεσήμαν</w:t>
      </w:r>
      <w:r w:rsidRPr="00175E82">
        <w:t xml:space="preserve">ε τη σπουδαιότητα της κοινής απόκρισης της ΕΕ στην ανάγκη για δίκαιη μετάβαση. </w:t>
      </w:r>
    </w:p>
    <w:p w:rsidR="00D87352" w:rsidRPr="00175E82" w:rsidRDefault="00D87352" w:rsidP="00D87352"/>
    <w:p w:rsidR="00D87352" w:rsidRPr="00175E82" w:rsidRDefault="00271899" w:rsidP="00D87352">
      <w:r w:rsidRPr="00175E82">
        <w:t>Ωστόσο, κατά την άποψη του εισηγητή, η παρούσα πρόταση, η οποία αποτελεί την πρώτη νομοθετική πρόταση για την εφαρμογή των προτεραιοτήτων που καθορίζονται στην Ευρωπαϊκή Πράσι</w:t>
      </w:r>
      <w:r w:rsidRPr="00175E82">
        <w:t>νη Συμφωνία και αποτελεί μέρος του επενδυτικού σχεδίου για μια βιώσιμη Ευρώπη, εξακολουθεί να χρήζει ορισμένων τροποποιήσεων, προσθηκών και προσαρμογών. Ο εισηγητής εκφράζει έντονο προβληματισμό για τον κοινωνικοοικονομικό αντίκτυπο της διαδικασίας μετάβασ</w:t>
      </w:r>
      <w:r w:rsidRPr="00175E82">
        <w:t>ης προς μια κλιματικά ουδέτερη οικονομία, πιστεύει δε ακράδαντα ότι η ΕΕ πρέπει να επιτύχει τη μετάβαση, διασφαλίζοντας ότι οι ανισότητες μεταξύ περιφερειών δεν θα οξυνθούν περισσότερο και ότι κανένας πολίτης δεν θα μείνει στο περιθώριο.</w:t>
      </w:r>
    </w:p>
    <w:p w:rsidR="00D87352" w:rsidRPr="00175E82" w:rsidRDefault="00D87352" w:rsidP="00D87352"/>
    <w:p w:rsidR="00D87352" w:rsidRPr="00175E82" w:rsidRDefault="00271899" w:rsidP="00D87352">
      <w:pPr>
        <w:rPr>
          <w:b/>
        </w:rPr>
      </w:pPr>
      <w:r w:rsidRPr="00175E82">
        <w:rPr>
          <w:b/>
        </w:rPr>
        <w:t xml:space="preserve">Β. Δομή του </w:t>
      </w:r>
      <w:r w:rsidRPr="00175E82">
        <w:rPr>
          <w:b/>
        </w:rPr>
        <w:t>Μηχανισμού Δίκαιης Μετάβασης</w:t>
      </w:r>
    </w:p>
    <w:p w:rsidR="00D87352" w:rsidRPr="00175E82" w:rsidRDefault="00D87352" w:rsidP="00D87352"/>
    <w:p w:rsidR="00D87352" w:rsidRPr="00175E82" w:rsidRDefault="00271899" w:rsidP="00D87352">
      <w:r w:rsidRPr="00175E82">
        <w:t>Ο εισηγητής εκφράζει την ικανοποίησή του για τη δομή του Μηχανισμού Δίκαιης Μετάβασης, ο οποίος θα αποτελείται από τρεις πυλώνες: το Ταμείο Δίκαιης Μετάβασης, το ειδικό καθεστώς στο πλαίσιο του InvestEU και τη δανειακή διευκόλ</w:t>
      </w:r>
      <w:r w:rsidRPr="00175E82">
        <w:t>υνση του δημόσιου τομέα από τον όμιλο της ΕΤΕπ. Το Ταμείο Δίκαιης Μετάβασης θα χρησιμοποιηθεί πρωτίστως για την παροχή επιχορηγήσεων, και θα επικεντρωθεί στην οικονομική διαφοροποίηση και την απόκτηση νέων δεξιοτήτων, καθώς και την ενεργό ένταξη των εργαζο</w:t>
      </w:r>
      <w:r w:rsidRPr="00175E82">
        <w:t xml:space="preserve">μένων και των ατόμων που αναζητούν εργασία· λαμβάνοντας υπόψη ότι οι άλλοι δύο πυλώνες θα προσελκύσουν ιδιωτικές επενδύσεις και θα μοχλεύσουν δημόσια χρηματοδότηση, αντίστοιχα. </w:t>
      </w:r>
    </w:p>
    <w:p w:rsidR="00D87352" w:rsidRPr="00175E82" w:rsidRDefault="00D87352" w:rsidP="00D87352"/>
    <w:p w:rsidR="00D87352" w:rsidRPr="00175E82" w:rsidRDefault="00271899" w:rsidP="00D87352">
      <w:r w:rsidRPr="00175E82">
        <w:t xml:space="preserve">Ο εισηγητής επισημαίνει επίσης το γεγονός ότι το Ταμείο Δίκαιης Μετάβασης θα </w:t>
      </w:r>
      <w:r w:rsidRPr="00175E82">
        <w:t>υλοποιηθεί μέσω επιμερισμένης διαχείρισης σε στενή συνεργασία με τις εθνικές, περιφερειακές και τοπικές αρχές και τα ενδιαφερόμενα μέρη, καθώς αυτό διασφαλίζει τον ενστερνισμό της στρατηγικής για τη μετάβαση. Η συμμόρφωση με την αρχή της εταιρικής σχέσης ε</w:t>
      </w:r>
      <w:r w:rsidRPr="00175E82">
        <w:t>ίναι επίσης καίριας σημασίας, καθώς διασφαλίζει ότι θα ζητείται η γνώμη οικονομικών και κοινωνικών εταίρων για θέματα προγραμματισμού και υλοποίησης.</w:t>
      </w:r>
    </w:p>
    <w:p w:rsidR="00D87352" w:rsidRPr="00175E82" w:rsidRDefault="00D87352" w:rsidP="00D87352"/>
    <w:p w:rsidR="00D87352" w:rsidRPr="00175E82" w:rsidRDefault="00271899" w:rsidP="00D87352">
      <w:pPr>
        <w:rPr>
          <w:b/>
        </w:rPr>
      </w:pPr>
      <w:r w:rsidRPr="00175E82">
        <w:rPr>
          <w:b/>
        </w:rPr>
        <w:t>Γ. Εμβέλεια της στήριξης</w:t>
      </w:r>
    </w:p>
    <w:p w:rsidR="00D87352" w:rsidRPr="00175E82" w:rsidRDefault="00D87352" w:rsidP="00D87352"/>
    <w:p w:rsidR="00D87352" w:rsidRPr="00175E82" w:rsidRDefault="00271899" w:rsidP="00D87352">
      <w:r w:rsidRPr="00175E82">
        <w:t>Ο εισηγητής εκφράζει την ικανοποίησή του για το γεγονός ότι το προτεινόμενο ΤΔΜ</w:t>
      </w:r>
      <w:r w:rsidRPr="00175E82">
        <w:t xml:space="preserve"> θα στηρίξει δραστηριότητες στους τομείς της οικονομικής διαφοροποίησης, της απόκτησης νέων δεξιοτήτων από τους εργαζομένους και της περιβαλλοντικής αποκατάστασης. Πρόκειται για ευρύ φάσμα δραστηριοτήτων, στις οποίες συμπεριλαμβάνονται ειδικότερα επενδύσει</w:t>
      </w:r>
      <w:r w:rsidRPr="00175E82">
        <w:t>ς: σε ΜΜΕ, σε δραστηριότητες Ε&amp;Κ, στην ανάπτυξη τεχνολογίας και υποδομών που σχετίζονται με την ενέργεια, στην ψηφιοποίηση, στην αναγέννηση, στην ενίσχυση της κυκλικής οικονομίας, στην αναβάθμιση δεξιοτήτων και στην απόκτηση νέων δεξιοτήτων από τους εργαζο</w:t>
      </w:r>
      <w:r w:rsidRPr="00175E82">
        <w:t xml:space="preserve">μένους, καθώς και στην παροχή συνδρομής για την αναζήτηση εργασίας σε όσους αναζητούν εργασία και στην ενεργητική συμπερίληψή τους στην αγορά εργασίας. Ωστόσο, ο κατάλογος των δραστηριοτήτων δεν θα πρέπει να είναι εξαντλητικός, θα πρέπει δε να διευρυνθεί, </w:t>
      </w:r>
      <w:r w:rsidRPr="00175E82">
        <w:t>ώστε να περιλαμβάνει πανεπιστήμια και δημόσια ερευνητικά ιδρύματα, επενδύσεις σε ανανεώσιμες πηγές ενέργειας, στην παραγωγή ενέργειας και κατασκευή υποδομών, καθώς και σε φιλικά προς το περιβάλλον μέσα μεταφοράς.</w:t>
      </w:r>
      <w:r w:rsidRPr="00175E82">
        <w:rPr>
          <w:b/>
          <w:i/>
        </w:rPr>
        <w:t xml:space="preserve"> </w:t>
      </w:r>
    </w:p>
    <w:p w:rsidR="00D87352" w:rsidRPr="00175E82" w:rsidRDefault="00D87352" w:rsidP="00D87352"/>
    <w:p w:rsidR="00D87352" w:rsidRPr="00175E82" w:rsidRDefault="00271899" w:rsidP="00D87352">
      <w:r w:rsidRPr="00175E82">
        <w:t>Επίσης, λαμβανομένων υπόψη των μειονεκτημ</w:t>
      </w:r>
      <w:r w:rsidRPr="00175E82">
        <w:t>άτων της πυρηνικής ενέργειας, θεωρείται σκόπιμο να αποκλειστούν από τη χρηματοδότηση τα πυρηνικά εργοστάσια.</w:t>
      </w:r>
    </w:p>
    <w:p w:rsidR="00D87352" w:rsidRPr="00175E82" w:rsidRDefault="00D87352" w:rsidP="00D87352"/>
    <w:p w:rsidR="00D87352" w:rsidRPr="00175E82" w:rsidRDefault="00271899" w:rsidP="00D87352">
      <w:pPr>
        <w:rPr>
          <w:b/>
        </w:rPr>
      </w:pPr>
      <w:r w:rsidRPr="00175E82">
        <w:rPr>
          <w:b/>
        </w:rPr>
        <w:t>Δ. Προϋπολογισμός</w:t>
      </w:r>
    </w:p>
    <w:p w:rsidR="00D87352" w:rsidRPr="00175E82" w:rsidRDefault="00D87352" w:rsidP="00D87352">
      <w:pPr>
        <w:rPr>
          <w:b/>
        </w:rPr>
      </w:pPr>
    </w:p>
    <w:p w:rsidR="00D87352" w:rsidRPr="00175E82" w:rsidRDefault="00271899" w:rsidP="00D87352">
      <w:r w:rsidRPr="00175E82">
        <w:t>Ο εισηγητής χαιρετίζει το γεγονός ότι το προτεινόμενο ΤΔΜ θα προωθήσει την ενεργειακή μετάβαση και θα υποστηρίξει ένα πολύ ευρύ</w:t>
      </w:r>
      <w:r w:rsidRPr="00175E82">
        <w:t>τερο φάσμα δραστηριοτήτων που υπάγονται σε τρεις ευρείες κατηγορίες: κοινωνική υποστήριξη, οικονομική αναζωογόνηση και αποκατάσταση του εδάφους. Για τους λόγους αυτούς, ο εισηγητής ζητεί να κινητοποιηθούν δημοσιονομικοί πόροι το ύψος των οποίων θα υπερβαίν</w:t>
      </w:r>
      <w:r w:rsidRPr="00175E82">
        <w:t>ει κατά πολύ το ποσό των 7,5 δισ</w:t>
      </w:r>
      <w:r w:rsidR="00175E82" w:rsidRPr="00175E82">
        <w:t xml:space="preserve">εκατομμυρίων </w:t>
      </w:r>
      <w:r w:rsidRPr="00175E82">
        <w:t>EUR που πρότεινε η Επιτροπή, υπογραμμίζει δε ότι αυτό δεν θα πρέπει να θέσει σε κίνδυνο τη χρηματοδότηση των άλλων ταμείων συνοχής. Οι φιλόδοξοι στόχοι πολιτικής της ΕΕ μπορούν να επιτευχθούν μόνο μέσω ενός φιλόδοξου προϋπ</w:t>
      </w:r>
      <w:r w:rsidRPr="00175E82">
        <w:t xml:space="preserve">ολογισμού. Οι πόροι του ΤΔΜ θα πρέπει να συμπληρώνουν τους πόρους που διατίθενται στο πλαίσιο των υφιστάμενων μέσων περιφερειακής πολιτικής της Ένωσης και δεν θα πρέπει να είναι το αποτέλεσμα μεταφορών από άλλα ταμεία. </w:t>
      </w:r>
    </w:p>
    <w:p w:rsidR="00D87352" w:rsidRPr="00175E82" w:rsidRDefault="00D87352" w:rsidP="00D87352"/>
    <w:p w:rsidR="00D87352" w:rsidRPr="00175E82" w:rsidRDefault="00271899" w:rsidP="00D87352">
      <w:r w:rsidRPr="00175E82">
        <w:t>Ο εισηγητής ελπίζει επίσης ότι το σ</w:t>
      </w:r>
      <w:r w:rsidRPr="00175E82">
        <w:t>υνολικό ύψος των επενδύσεων μέσω των τριών πυλώνων του Μηχανισμού Δίκαιης Μετάβασης θα υπερβεί το προβλεπόμενο ποσό των 100 δισ</w:t>
      </w:r>
      <w:r w:rsidR="00175E82" w:rsidRPr="00175E82">
        <w:t xml:space="preserve">εκατομμυρίων </w:t>
      </w:r>
      <w:r w:rsidRPr="00175E82">
        <w:t>EUR, καθώς θα χρειαστούν πρόσθετοι πόροι για να βοηθηθούν τα εδάφη που επηρεάζονται περισσότερο από τις προκλήσεις μετάβασης να</w:t>
      </w:r>
      <w:r w:rsidRPr="00175E82">
        <w:t xml:space="preserve"> πετύχουν τον στόχο της κλιματικής ουδετερότητας, διατηρώντας παράλληλα υψηλά ποσοστά απασχόλησης τόσο κατά όσο και μετά τη διαδικασία μετάβασης. </w:t>
      </w:r>
    </w:p>
    <w:p w:rsidR="00D87352" w:rsidRPr="00175E82" w:rsidRDefault="00D87352" w:rsidP="00D87352"/>
    <w:p w:rsidR="00D87352" w:rsidRPr="00175E82" w:rsidRDefault="00271899" w:rsidP="00D87352">
      <w:pPr>
        <w:pStyle w:val="AmJustText"/>
        <w:rPr>
          <w:i w:val="0"/>
        </w:rPr>
      </w:pPr>
      <w:r w:rsidRPr="00175E82">
        <w:rPr>
          <w:i w:val="0"/>
        </w:rPr>
        <w:t>Κατά την άποψη του εισηγητή, θα πρέπει επίσης να δοθεί ιδιαίτερη προσοχή στους πληθυσμούς που κατοικούν σε ν</w:t>
      </w:r>
      <w:r w:rsidRPr="00175E82">
        <w:rPr>
          <w:i w:val="0"/>
        </w:rPr>
        <w:t>ησιωτικές ή απομακρυσμένες περιοχές οι οποίες εξαρτώνται από γεννήτριες ντίζελ ή πετρελαίου για την παραγωγή ηλεκτρικής ενέργειας, καθώς η υλοποίηση της ενεργειακής μετάβασης ενδέχεται να είναι πιο δύσκολη και πιο δαπανηρή. Για τους λόγους αυτούς, ο εισηγη</w:t>
      </w:r>
      <w:r w:rsidRPr="00175E82">
        <w:rPr>
          <w:i w:val="0"/>
        </w:rPr>
        <w:t>τής τροποποιεί τους συντελεστές στάθμισης που προβλέπονται στη μέθοδο κατανομής και προσθέτει ένα νέο κριτήριο σχετικά με τα νησιά και τις απομακρυσμένες περιοχές, ώστε η μέθοδος κατανομής να αποτυπώνει με αντικειμενικό τρόπο τις πραγματικές ανάγκες των υπ</w:t>
      </w:r>
      <w:r w:rsidRPr="00175E82">
        <w:rPr>
          <w:i w:val="0"/>
        </w:rPr>
        <w:t>ό μετάβαση πληθυσμών.</w:t>
      </w:r>
    </w:p>
    <w:p w:rsidR="00D87352" w:rsidRPr="00175E82" w:rsidRDefault="00271899" w:rsidP="00D87352">
      <w:r w:rsidRPr="00175E82">
        <w:t>Επιπλέον, ο εισηγητής φρονεί ότι τα κράτη μέλη θα πρέπει να ανταμείβονται για τις πρόσθετες προσπάθειες που καταβάλλουν και οι οποίες οδηγούν σε μείωση των εκπομπών πέραν του στόχου. Στο πλαίσιο αυτό, ο εισηγητής προτείνει να προσαρμο</w:t>
      </w:r>
      <w:r w:rsidRPr="00175E82">
        <w:t xml:space="preserve">στεί ουσιωδώς η κατανομή των κονδυλίων. </w:t>
      </w:r>
    </w:p>
    <w:p w:rsidR="00D87352" w:rsidRPr="00175E82" w:rsidRDefault="00D87352" w:rsidP="00D87352"/>
    <w:p w:rsidR="00D87352" w:rsidRPr="00175E82" w:rsidRDefault="00271899" w:rsidP="00D87352">
      <w:pPr>
        <w:rPr>
          <w:b/>
        </w:rPr>
      </w:pPr>
      <w:r w:rsidRPr="00175E82">
        <w:rPr>
          <w:b/>
        </w:rPr>
        <w:t>Ε. Κανόνες για τις κρατικές ενισχύσεις</w:t>
      </w:r>
    </w:p>
    <w:p w:rsidR="00D87352" w:rsidRPr="00175E82" w:rsidRDefault="00D87352" w:rsidP="00D87352">
      <w:pPr>
        <w:rPr>
          <w:b/>
        </w:rPr>
      </w:pPr>
    </w:p>
    <w:p w:rsidR="00D87352" w:rsidRPr="00175E82" w:rsidRDefault="00271899" w:rsidP="00D87352">
      <w:pPr>
        <w:rPr>
          <w:b/>
        </w:rPr>
      </w:pPr>
      <w:r w:rsidRPr="00175E82">
        <w:t>Προκειμένου να αντιμετωπιστεί αποτελεσματικά η απειλή να χαθούν θέσεις εργασίας, είναι αναγκαίο να εφαρμοστούν με ευέλικτο τρόπο οι κανόνες για τις κρατικές ενισχύσεις και να</w:t>
      </w:r>
      <w:r w:rsidRPr="00175E82">
        <w:t xml:space="preserve"> υιοθετηθεί μια ολοκληρωμένη προσέγγιση ως προς όλες τις περιφέρειες. Αυτό σημαίνει ότι η στήριξη δεν θα πρέπει να περιορίζεται σε περιοχές που είναι επιλέξιμες για κρατική ενίσχυση σύμφωνα με την ισχύουσα νομοθεσία περί κρατικών ενισχύσεων. Θα πρέπει επίσ</w:t>
      </w:r>
      <w:r w:rsidRPr="00175E82">
        <w:t xml:space="preserve">ης να συμπεριληφθούν και άλλες περιοχές, συμπεριλαμβανομένων φτωχών περιοχών, περιοχών με υψηλά ποσοστά ανεργίας και εξόχως απόκεντρων περιοχών. </w:t>
      </w:r>
    </w:p>
    <w:p w:rsidR="00D87352" w:rsidRPr="00175E82" w:rsidRDefault="00D87352" w:rsidP="00D87352"/>
    <w:p w:rsidR="00D87352" w:rsidRPr="00175E82" w:rsidRDefault="00271899" w:rsidP="00D87352">
      <w:pPr>
        <w:rPr>
          <w:b/>
        </w:rPr>
      </w:pPr>
      <w:r w:rsidRPr="00175E82">
        <w:rPr>
          <w:b/>
        </w:rPr>
        <w:t>ΣΤ. Προχρηματοδότηση</w:t>
      </w:r>
    </w:p>
    <w:p w:rsidR="00D87352" w:rsidRPr="00175E82" w:rsidRDefault="00D87352" w:rsidP="00D87352">
      <w:pPr>
        <w:rPr>
          <w:b/>
        </w:rPr>
      </w:pPr>
    </w:p>
    <w:p w:rsidR="00D87352" w:rsidRPr="00175E82" w:rsidRDefault="00271899" w:rsidP="00D87352">
      <w:r w:rsidRPr="00175E82">
        <w:t xml:space="preserve">Ο εισηγητής εκφράζει την ικανοποίησή του για το γεγονός ότι εναπόκειται στα κράτη μέλη </w:t>
      </w:r>
      <w:r w:rsidRPr="00175E82">
        <w:t>να καταρτίσουν τα σχέδια εδαφικής μετάβασης και να προσδιορίσουν τις θιγόμενες περιφέρειες επιπέδου NUTS, ή τμήματα αυτών, που θα πρέπει να λάβουν στήριξη. Ωστόσο, λαμβάνοντας υπόψη ότι η υποβολή τους έως το τέλος του 2020 αποτελεί πρόκληση για τις διαχειρ</w:t>
      </w:r>
      <w:r w:rsidRPr="00175E82">
        <w:t>ιστικές αρχές και τα κράτη μέλη, θα πρέπει να καταστούν διαθέσιμες υπό όρους προχρηματοδοτήσεις για τεχνική βοήθεια, προκειμένου να αντιμετωπιστεί αυτή η πρόκληση. Επιπλέον, τα κράτη μέλη θα πρέπει να επωφεληθούν από μια μεταβατική περίοδο για την κατάρτισ</w:t>
      </w:r>
      <w:r w:rsidRPr="00175E82">
        <w:t>η και έγκριση των εδαφικών σχεδίων δίκαιης μετάβασης, χωρίς να τίθεται σε κίνδυνο η επιλεξιμότητά τους για χρηματοδότηση.</w:t>
      </w:r>
    </w:p>
    <w:p w:rsidR="00AE53E0" w:rsidRPr="00175E82" w:rsidRDefault="00AE53E0" w:rsidP="00AE53E0"/>
    <w:p w:rsidR="00AE53E0" w:rsidRPr="00175E82" w:rsidRDefault="00AE53E0" w:rsidP="00AE53E0"/>
    <w:p w:rsidR="004309FA" w:rsidRPr="00175E82" w:rsidRDefault="004309FA" w:rsidP="002669B6"/>
    <w:sectPr w:rsidR="004309FA" w:rsidRPr="00175E82" w:rsidSect="004309FA">
      <w:footnotePr>
        <w:numRestart w:val="eachSect"/>
      </w:footnotePr>
      <w:endnotePr>
        <w:numFmt w:val="decimal"/>
      </w:endnotePr>
      <w:pgSz w:w="11906" w:h="16838" w:code="9"/>
      <w:pgMar w:top="1134" w:right="1418" w:bottom="1418" w:left="1418" w:header="1134"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Pr="00175E82" w:rsidRDefault="00271899">
      <w:r w:rsidRPr="00175E82">
        <w:separator/>
      </w:r>
    </w:p>
  </w:endnote>
  <w:endnote w:type="continuationSeparator" w:id="0">
    <w:p w:rsidR="00000000" w:rsidRPr="00175E82" w:rsidRDefault="00271899">
      <w:r w:rsidRPr="00175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okChampa">
    <w:altName w:val="Leelawadee UI"/>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82" w:rsidRPr="00175E82" w:rsidRDefault="00175E82" w:rsidP="00175E82">
    <w:pPr>
      <w:pStyle w:val="EPFooter"/>
    </w:pPr>
    <w:r w:rsidRPr="00175E82">
      <w:t>PE</w:t>
    </w:r>
    <w:r w:rsidRPr="00175E82">
      <w:rPr>
        <w:rStyle w:val="HideTWBExt"/>
        <w:noProof w:val="0"/>
      </w:rPr>
      <w:t>&lt;NoPE&gt;</w:t>
    </w:r>
    <w:r w:rsidRPr="00175E82">
      <w:t>648.609</w:t>
    </w:r>
    <w:r w:rsidRPr="00175E82">
      <w:rPr>
        <w:rStyle w:val="HideTWBExt"/>
        <w:noProof w:val="0"/>
      </w:rPr>
      <w:t>&lt;/NoPE&gt;&lt;Version&gt;</w:t>
    </w:r>
    <w:r w:rsidRPr="00175E82">
      <w:t>v03-00</w:t>
    </w:r>
    <w:r w:rsidRPr="00175E82">
      <w:rPr>
        <w:rStyle w:val="HideTWBExt"/>
        <w:noProof w:val="0"/>
      </w:rPr>
      <w:t>&lt;/Version&gt;</w:t>
    </w:r>
    <w:r w:rsidRPr="00175E82">
      <w:tab/>
    </w:r>
    <w:r w:rsidRPr="00175E82">
      <w:fldChar w:fldCharType="begin"/>
    </w:r>
    <w:r w:rsidRPr="00175E82">
      <w:instrText xml:space="preserve"> PAGE  \* MERGEFORMAT </w:instrText>
    </w:r>
    <w:r w:rsidRPr="00175E82">
      <w:fldChar w:fldCharType="separate"/>
    </w:r>
    <w:r w:rsidR="00271899">
      <w:rPr>
        <w:noProof/>
      </w:rPr>
      <w:t>2</w:t>
    </w:r>
    <w:r w:rsidRPr="00175E82">
      <w:fldChar w:fldCharType="end"/>
    </w:r>
    <w:r w:rsidRPr="00175E82">
      <w:t>/</w:t>
    </w:r>
    <w:fldSimple w:instr=" NUMPAGES  \* MERGEFORMAT ">
      <w:r w:rsidR="00271899">
        <w:rPr>
          <w:noProof/>
        </w:rPr>
        <w:t>35</w:t>
      </w:r>
    </w:fldSimple>
    <w:r w:rsidRPr="00175E82">
      <w:tab/>
    </w:r>
    <w:r w:rsidRPr="00175E82">
      <w:rPr>
        <w:rStyle w:val="HideTWBExt"/>
        <w:noProof w:val="0"/>
      </w:rPr>
      <w:t>&lt;PathFdR&gt;</w:t>
    </w:r>
    <w:r w:rsidRPr="00175E82">
      <w:t>PR\1202915EL.docx</w:t>
    </w:r>
    <w:r w:rsidRPr="00175E82">
      <w:rPr>
        <w:rStyle w:val="HideTWBExt"/>
        <w:noProof w:val="0"/>
      </w:rPr>
      <w:t>&lt;/PathFdR&gt;</w:t>
    </w:r>
  </w:p>
  <w:p w:rsidR="004D24EC" w:rsidRPr="00175E82" w:rsidRDefault="00175E82" w:rsidP="00175E82">
    <w:pPr>
      <w:pStyle w:val="EPFooter2"/>
    </w:pPr>
    <w:r w:rsidRPr="00175E82">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82" w:rsidRPr="00175E82" w:rsidRDefault="00175E82" w:rsidP="00175E82">
    <w:pPr>
      <w:pStyle w:val="EPFooter"/>
    </w:pPr>
    <w:r w:rsidRPr="00175E82">
      <w:rPr>
        <w:rStyle w:val="HideTWBExt"/>
        <w:noProof w:val="0"/>
      </w:rPr>
      <w:t>&lt;PathFdR&gt;</w:t>
    </w:r>
    <w:r w:rsidRPr="00175E82">
      <w:t>PR\1202915EL.docx</w:t>
    </w:r>
    <w:r w:rsidRPr="00175E82">
      <w:rPr>
        <w:rStyle w:val="HideTWBExt"/>
        <w:noProof w:val="0"/>
      </w:rPr>
      <w:t>&lt;/PathFdR&gt;</w:t>
    </w:r>
    <w:r w:rsidRPr="00175E82">
      <w:tab/>
    </w:r>
    <w:r w:rsidRPr="00175E82">
      <w:fldChar w:fldCharType="begin"/>
    </w:r>
    <w:r w:rsidRPr="00175E82">
      <w:instrText xml:space="preserve"> PAGE  \* MERGEFORMAT </w:instrText>
    </w:r>
    <w:r w:rsidRPr="00175E82">
      <w:fldChar w:fldCharType="separate"/>
    </w:r>
    <w:r w:rsidR="00271899">
      <w:rPr>
        <w:noProof/>
      </w:rPr>
      <w:t>35</w:t>
    </w:r>
    <w:r w:rsidRPr="00175E82">
      <w:fldChar w:fldCharType="end"/>
    </w:r>
    <w:r w:rsidRPr="00175E82">
      <w:t>/</w:t>
    </w:r>
    <w:fldSimple w:instr=" NUMPAGES  \* MERGEFORMAT ">
      <w:r w:rsidR="00271899">
        <w:rPr>
          <w:noProof/>
        </w:rPr>
        <w:t>35</w:t>
      </w:r>
    </w:fldSimple>
    <w:r w:rsidRPr="00175E82">
      <w:tab/>
      <w:t>PE</w:t>
    </w:r>
    <w:r w:rsidRPr="00175E82">
      <w:rPr>
        <w:rStyle w:val="HideTWBExt"/>
        <w:noProof w:val="0"/>
      </w:rPr>
      <w:t>&lt;NoPE&gt;</w:t>
    </w:r>
    <w:r w:rsidRPr="00175E82">
      <w:t>648.609</w:t>
    </w:r>
    <w:r w:rsidRPr="00175E82">
      <w:rPr>
        <w:rStyle w:val="HideTWBExt"/>
        <w:noProof w:val="0"/>
      </w:rPr>
      <w:t>&lt;/NoPE&gt;&lt;Version&gt;</w:t>
    </w:r>
    <w:r w:rsidRPr="00175E82">
      <w:t>v03-00</w:t>
    </w:r>
    <w:r w:rsidRPr="00175E82">
      <w:rPr>
        <w:rStyle w:val="HideTWBExt"/>
        <w:noProof w:val="0"/>
      </w:rPr>
      <w:t>&lt;/Version&gt;</w:t>
    </w:r>
  </w:p>
  <w:p w:rsidR="004D24EC" w:rsidRPr="00175E82" w:rsidRDefault="00175E82" w:rsidP="00175E82">
    <w:pPr>
      <w:pStyle w:val="EPFooter2"/>
    </w:pPr>
    <w:r w:rsidRPr="00175E82">
      <w:tab/>
    </w:r>
    <w:r w:rsidRPr="00175E82">
      <w:tab/>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E82" w:rsidRPr="00175E82" w:rsidRDefault="00175E82" w:rsidP="00175E82">
    <w:pPr>
      <w:pStyle w:val="EPFooter"/>
    </w:pPr>
    <w:r w:rsidRPr="00175E82">
      <w:rPr>
        <w:rStyle w:val="HideTWBExt"/>
        <w:noProof w:val="0"/>
      </w:rPr>
      <w:t>&lt;PathFdR&gt;</w:t>
    </w:r>
    <w:r w:rsidRPr="00175E82">
      <w:t>PR\1202915EL.docx</w:t>
    </w:r>
    <w:r w:rsidRPr="00175E82">
      <w:rPr>
        <w:rStyle w:val="HideTWBExt"/>
        <w:noProof w:val="0"/>
      </w:rPr>
      <w:t>&lt;/PathFdR&gt;</w:t>
    </w:r>
    <w:r w:rsidRPr="00175E82">
      <w:tab/>
    </w:r>
    <w:r w:rsidRPr="00175E82">
      <w:tab/>
      <w:t>PE</w:t>
    </w:r>
    <w:r w:rsidRPr="00175E82">
      <w:rPr>
        <w:rStyle w:val="HideTWBExt"/>
        <w:noProof w:val="0"/>
      </w:rPr>
      <w:t>&lt;NoPE&gt;</w:t>
    </w:r>
    <w:r w:rsidRPr="00175E82">
      <w:t>648.609</w:t>
    </w:r>
    <w:r w:rsidRPr="00175E82">
      <w:rPr>
        <w:rStyle w:val="HideTWBExt"/>
        <w:noProof w:val="0"/>
      </w:rPr>
      <w:t>&lt;/NoPE&gt;&lt;Version&gt;</w:t>
    </w:r>
    <w:r w:rsidRPr="00175E82">
      <w:t>v03-00</w:t>
    </w:r>
    <w:r w:rsidRPr="00175E82">
      <w:rPr>
        <w:rStyle w:val="HideTWBExt"/>
        <w:noProof w:val="0"/>
      </w:rPr>
      <w:t>&lt;/Version&gt;</w:t>
    </w:r>
  </w:p>
  <w:p w:rsidR="004D24EC" w:rsidRPr="00175E82" w:rsidRDefault="00175E82" w:rsidP="00175E82">
    <w:pPr>
      <w:pStyle w:val="EPFooter2"/>
    </w:pPr>
    <w:r w:rsidRPr="00175E82">
      <w:t>EL</w:t>
    </w:r>
    <w:r w:rsidRPr="00175E82">
      <w:tab/>
    </w:r>
    <w:r w:rsidRPr="00175E82">
      <w:rPr>
        <w:b w:val="0"/>
        <w:i/>
        <w:color w:val="C0C0C0"/>
        <w:sz w:val="22"/>
      </w:rPr>
      <w:t>Eνωμένη στην πολυμορφία</w:t>
    </w:r>
    <w:r w:rsidRPr="00175E82">
      <w:tab/>
      <w:t>EL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4EC" w:rsidRPr="00175E82" w:rsidRDefault="00271899">
      <w:r w:rsidRPr="00175E82">
        <w:separator/>
      </w:r>
    </w:p>
  </w:footnote>
  <w:footnote w:type="continuationSeparator" w:id="0">
    <w:p w:rsidR="004D24EC" w:rsidRPr="00175E82" w:rsidRDefault="00271899">
      <w:r w:rsidRPr="00175E82">
        <w:continuationSeparator/>
      </w:r>
    </w:p>
  </w:footnote>
  <w:footnote w:id="1">
    <w:p w:rsidR="004D24EC" w:rsidRPr="00175E82" w:rsidRDefault="00271899">
      <w:pPr>
        <w:rPr>
          <w:sz w:val="20"/>
        </w:rPr>
      </w:pPr>
      <w:r w:rsidRPr="00175E82">
        <w:rPr>
          <w:rStyle w:val="FootnoteReference"/>
          <w:sz w:val="20"/>
        </w:rPr>
        <w:footnoteRef/>
      </w:r>
      <w:r w:rsidRPr="00175E82">
        <w:rPr>
          <w:sz w:val="20"/>
        </w:rPr>
        <w:t xml:space="preserve"> ΕΕ C ... / Δεν έχει ακόμη δημοσιευθεί στην Επίσημη Εφημερίδα.</w:t>
      </w:r>
    </w:p>
  </w:footnote>
  <w:footnote w:id="2">
    <w:p w:rsidR="004D24EC" w:rsidRPr="00175E82" w:rsidRDefault="00271899">
      <w:pPr>
        <w:rPr>
          <w:sz w:val="20"/>
        </w:rPr>
      </w:pPr>
      <w:r w:rsidRPr="00175E82">
        <w:rPr>
          <w:rStyle w:val="FootnoteReference"/>
          <w:sz w:val="20"/>
        </w:rPr>
        <w:footnoteRef/>
      </w:r>
      <w:r w:rsidRPr="00175E82">
        <w:rPr>
          <w:sz w:val="20"/>
        </w:rPr>
        <w:t xml:space="preserve"> ΕΕ C ... / Δεν έχει ακόμη δημοσιευθεί στην Επίσημη Εφημερίδα.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99" w:rsidRDefault="00271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99" w:rsidRDefault="00271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899" w:rsidRDefault="00271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ACTMNU" w:val=" 2"/>
    <w:docVar w:name="CJMNU" w:val="1"/>
    <w:docVar w:name="COMKEY" w:val="REGI"/>
    <w:docVar w:name="CopyToNetwork" w:val="-1"/>
    <w:docVar w:name="CVar" w:val="12"/>
    <w:docVar w:name="DOCMNU" w:val=" 1"/>
    <w:docVar w:name="EPSTATMNU" w:val=" 5"/>
    <w:docVar w:name="iNoAmend" w:val="44"/>
    <w:docVar w:name="INSTITUTIONSMNU" w:val=" 1"/>
    <w:docVar w:name="JURI1MNU" w:val=" 2"/>
    <w:docVar w:name="JURI2MNU" w:val=" 2"/>
    <w:docVar w:name="LastEditedSection" w:val=" 1"/>
    <w:docVar w:name="ORLANGKEY" w:val="EN"/>
    <w:docVar w:name="ORLANGMNU" w:val=" 1"/>
    <w:docVar w:name="OTHERSTATMNU" w:val=" 4"/>
    <w:docVar w:name="PARLIAMENTSMNU" w:val=" 2"/>
    <w:docVar w:name="RECONSULTMNU" w:val=" 1"/>
    <w:docVar w:name="RepeatBlock-Amend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panose 00000000000000000000}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panose 00000000000000000000}DokChampa{\*\falt Leelawadee UI};}{\f290\fbidi \froman\fcharset238\fprq2 Times New Roman CE;}{\f291\fbidi \froman\fcharset204\fprq2 Times New Roman Cyr;}_x000d__x000a_{\f293\fbidi \froman\fcharset161\fprq2 Times New Roman Greek;}{\f294\fbidi \froman\fcharset162\fprq2 Times New Roman Tur;}{\f295\fbidi \froman\fcharset177\fprq2 Times New Roman (Hebrew);}{\f296\fbidi \froman\fcharset178\fprq2 Times New Roman (Arabic);}_x000d__x000a_{\f297\fbidi \froman\fcharset186\fprq2 Times New Roman Baltic;}{\f298\fbidi \froman\fcharset163\fprq2 Times New Roman (Vietnamese);}{\f300\fbidi \fswiss\fcharset238\fprq2 Arial CE;}{\f301\fbidi \fswiss\fcharset204\fprq2 Arial Cyr;}_x000d__x000a_{\f303\fbidi \fswiss\fcharset161\fprq2 Arial Greek;}{\f304\fbidi \fswiss\fcharset162\fprq2 Arial Tur;}{\f305\fbidi \fswiss\fcharset177\fprq2 Arial (Hebrew);}{\f306\fbidi \fswiss\fcharset178\fprq2 Arial (Arabic);}_x000d__x000a_{\f307\fbidi \fswiss\fcharset186\fprq2 Arial Baltic;}{\f308\fbidi \fswiss\fcharset163\fprq2 Arial (Vietnamese);}{\f630\fbidi \froman\fcharset238\fprq2 Cambria Math CE;}{\f631\fbidi \froman\fcharset204\fprq2 Cambria Math Cyr;}_x000d__x000a_{\f633\fbidi \froman\fcharset161\fprq2 Cambria Math Greek;}{\f634\fbidi \froman\fcharset162\fprq2 Cambria Math Tur;}{\f637\fbidi \froman\fcharset186\fprq2 Cambria Math Baltic;}{\f63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7353036 HideTWBExt;}{\*\cs18 \additive \v\f1\fs20\cf15 _x000d__x000a_\spriority0 \styrsid7353036 HideTWBInt;}{\s19\ql \li0\ri0\sa120\nowidctlpar\wrapdefault\aspalpha\aspnum\faauto\adjustright\rin0\lin0\itap0 \rtlch\fcs1 \af0\afs20\alang1025 \ltrch\fcs0 \fs24\lang2057\langfe2057\cgrid\langnp2057\langfenp2057 _x000d__x000a_\sbasedon0 \snext19 \spriority0 \styrsid7353036 Normal6a;}{\s20\ql \li0\ri0\nowidctlpar\wrapdefault\aspalpha\aspnum\faauto\adjustright\rin0\lin0\itap0 \rtlch\fcs1 \af0\afs20\alang1025 \ltrch\fcs0 \b\fs24\lang2057\langfe2057\cgrid\langnp2057\langfenp2057 _x000d__x000a_\sbasedon0 \snext20 \spriority0 \styrsid7353036 NormalBold;}{\s21\ql \li0\ri0\sa240\nowidctlpar\wrapdefault\aspalpha\aspnum\faauto\adjustright\rin0\lin0\itap0 \rtlch\fcs1 \af0\afs20\alang1025 \ltrch\fcs0 _x000d__x000a_\i\fs24\lang2057\langfe2057\cgrid\langnp2057\langfenp2057 \sbasedon0 \snext21 \spriority0 \styrsid7353036 AmJustText;}{\s22\qc \li0\ri0\sb240\sa240\nowidctlpar\wrapdefault\aspalpha\aspnum\faauto\adjustright\rin0\lin0\itap0 \rtlch\fcs1 _x000d__x000a_\af0\afs20\alang1025 \ltrch\fcs0 \i\fs24\lang2057\langfe2057\cgrid\langnp2057\langfenp2057 \sbasedon0 \snext22 \spriority0 \styrsid7353036 AmCrossRef;}{_x000d__x000a_\s23\qc \li0\ri0\sb240\sa240\keepn\nowidctlpar\wrapdefault\aspalpha\aspnum\faauto\adjustright\rin0\lin0\itap0 \rtlch\fcs1 \af0\afs20\alang1025 \ltrch\fcs0 \i\fs24\lang2057\langfe2057\cgrid\langnp2057\langfenp2057 _x000d__x000a_\sbasedon0 \snext21 \spriority0 \styrsid7353036 AmJustTitle;}{\s24\qr \li0\ri0\sb240\sa240\nowidctlpar\wrapdefault\aspalpha\aspnum\faauto\adjustright\rin0\lin0\itap0 \rtlch\fcs1 \af0\afs20\alang1025 \ltrch\fcs0 _x000d__x000a_\fs24\lang2057\langfe2057\cgrid\langnp2057\langfenp2057 \sbasedon0 \snext24 \spriority0 \styrsid7353036 AmOrLang;}{\s25\qc \li0\ri0\sa240\nowidctlpar\wrapdefault\aspalpha\aspnum\faauto\adjustright\rin0\lin0\itap0 \rtlch\fcs1 \af0\afs20\alang1025 _x000d__x000a_\ltrch\fcs0 \i\fs24\lang2057\langfe2057\cgrid\langnp2057\langfenp2057 \sbasedon0 \snext25 \spriority0 \styrsid7353036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7353036 AmNumberTabs;}{\s27\ql \li0\ri0\sb240\nowidctlpar\wrapdefault\aspalpha\aspnum\faauto\adjustright\rin0\lin0\itap0 \rtlch\fcs1 _x000d__x000a_\af0\afs20\alang1025 \ltrch\fcs0 \b\fs24\lang2057\langfe2057\cgrid\langnp2057\langfenp2057 \sbasedon0 \snext27 \spriority0 \styrsid7353036 NormalBold12b;}}{\*\rsidtbl \rsid24658\rsid223860\rsid735077\rsid1718133\rsid2892074\rsid3565327\rsid4666813_x000d__x000a_\rsid6641733\rsid7353036\rsid7823322\rsid951906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KEYS Alexander}{\operator KEYS Alexander}{\creatim\yr2020\mo2\dy10\hr16\min11}{\revtim\yr2020\mo2\dy10\hr16\min11}{\version1}{\edmins0}{\nofpages1}_x000d__x000a_{\nofwords56}{\nofchars644}{\nofcharsws647}{\vern99}}{\*\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splytwnine\ftnlytwnine\htmautsp\nolnhtadjtbl\useltbaln\alntblind\lytcalctblwd\lyttblrtgr\lnbrkrule\nobrkwrptbl\snaptogridincell\allowfieldendsel\wrppunct_x000d__x000a_\asianbrkrule\nojkernpunct\rsidroot7353036\newtblstyruls\nogrowautofit\usenormstyforlist\noindnmbrts\felnbrelev\nocxsptable\indrlsweleven\noafcnsttbl\afelev\utinl\hwelev\spltpgpar\notcvasp\notbrkcnstfrctbl\notvatxbx\krnprsnet\cachedcolbal _x000d__x000a_\nouicompat \fet0{\*\wgrffmtfilter 013f}\nofeaturethrottle1\ilfomacatclnup0{\*\template C:\\Users\\akeys\\AppData\\Local\\Temp\\Blank1.dotx}{\*\ftnsep \ltrpar \pard\plain \ltrpar_x000d__x000a_\ql \li0\ri0\widctlpar\wrapdefault\aspalpha\aspnum\faauto\adjustright\rin0\lin0\itap0 \rtlch\fcs1 \af0\afs20\alang1025 \ltrch\fcs0 \fs24\lang2057\langfe2057\cgrid\langnp2057\langfenp2057 {\rtlch\fcs1 \af0 \ltrch\fcs0 \insrsid9519062 \chftnsep _x000d__x000a_\par }}{\*\ftnsepc \ltrpar \pard\plain \ltrpar\ql \li0\ri0\widctlpar\wrapdefault\aspalpha\aspnum\faauto\adjustright\rin0\lin0\itap0 \rtlch\fcs1 \af0\afs20\alang1025 \ltrch\fcs0 \fs24\lang2057\langfe2057\cgrid\langnp2057\langfenp2057 {\rtlch\fcs1 \af0 _x000d__x000a_\ltrch\fcs0 \insrsid9519062 \chftnsepc _x000d__x000a_\par }}{\*\aftnsep \ltrpar \pard\plain \ltrpar\ql \li0\ri0\widctlpar\wrapdefault\aspalpha\aspnum\faauto\adjustright\rin0\lin0\itap0 \rtlch\fcs1 \af0\afs20\alang1025 \ltrch\fcs0 \fs24\lang2057\langfe2057\cgrid\langnp2057\langfenp2057 {\rtlch\fcs1 \af0 _x000d__x000a_\ltrch\fcs0 \insrsid9519062 \chftnsep _x000d__x000a_\par }}{\*\aftnsepc \ltrpar \pard\plain \ltrpar\ql \li0\ri0\widctlpar\wrapdefault\aspalpha\aspnum\faauto\adjustright\rin0\lin0\itap0 \rtlch\fcs1 \af0\afs20\alang1025 \ltrch\fcs0 \fs24\lang2057\langfe2057\cgrid\langnp2057\langfenp2057 {\rtlch\fcs1 \af0 _x000d__x000a_\ltrch\fcs0 \insrsid9519062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7353036 \rtlch\fcs1 _x000d__x000a_\af0\afs20\alang1025 \ltrch\fcs0 \b\fs24\lang2057\langfe2057\cgrid\langnp2057\langfenp2057 {\rtlch\fcs1 \af0 \ltrch\fcs0 \cs17\b0\v\fs20\cf9\loch\af1\hich\af1\dbch\af31501\insrsid7353036\charrsid13183729 {\*\bkmkstart restart}_x000d__x000a_\hich\af1\dbch\af31501\loch\f1 &lt;Amend&gt;}{\rtlch\fcs1 \af0 \ltrch\fcs0 \insrsid7353036\charrsid13183729 Amendment\tab \tab }{\rtlch\fcs1 \af0 \ltrch\fcs0 \cs17\b0\v\fs20\cf9\loch\af1\hich\af1\dbch\af31501\insrsid7353036\charrsid13183729 _x000d__x000a_\hich\af1\dbch\af31501\loch\f1 &lt;NumAm&gt;}{\rtlch\fcs1 \af0 \ltrch\fcs0 \insrsid7353036\charrsid13183729 #}{\rtlch\fcs1 \af1 \ltrch\fcs0 \cs18\v\f1\fs20\cf15\insrsid7353036\charrsid13183729 ENMIENDA@NRAM@}{\rtlch\fcs1 \af0 \ltrch\fcs0 _x000d__x000a_\insrsid7353036\charrsid13183729 #}{\rtlch\fcs1 \af0 \ltrch\fcs0 \cs17\b0\v\fs20\cf9\loch\af1\hich\af1\dbch\af31501\insrsid7353036\charrsid13183729 \hich\af1\dbch\af31501\loch\f1 &lt;/NumAm&gt;}{\rtlch\fcs1 \af0 \ltrch\fcs0 \insrsid7353036\charrsid13183729 _x000d__x000a__x000d__x000a_\par }\pard\plain \ltrpar\s27\ql \li0\ri0\sb240\keepn\nowidctlpar\wrapdefault\aspalpha\aspnum\faauto\adjustright\rin0\lin0\itap0\pararsid7353036 \rtlch\fcs1 \af0\afs20\alang1025 \ltrch\fcs0 \b\fs24\lang2057\langfe2057\cgrid\langnp2057\langfenp2057 {_x000d__x000a_\rtlch\fcs1 \af0 \ltrch\fcs0 \cs17\b0\v\fs20\cf9\loch\af1\hich\af1\dbch\af31501\insrsid7353036\charrsid13183729 \hich\af1\dbch\af31501\loch\f1 &lt;DocAmend&gt;}{\rtlch\fcs1 \af0 \ltrch\fcs0 \insrsid7353036\charrsid13183729 Proposal for a #}{\rtlch\fcs1 \af1 _x000d__x000a_\ltrch\fcs0 \cs18\v\f1\fs20\cf15\insrsid7353036\charrsid13183729 MNU[DOC1][DOC2][DOC3]@DOCMSG@DOCMNU}{\rtlch\fcs1 \af0 \ltrch\fcs0 \insrsid7353036\charrsid13183729 ##}{\rtlch\fcs1 \af1 \ltrch\fcs0 \cs18\v\f1\fs20\cf15\insrsid7353036\charrsid13183729 _x000d__x000a_MNU[AMACTYES][NOTAPP]@CHOICE@AMACTMNU}{\rtlch\fcs1 \af0 \ltrch\fcs0 \insrsid7353036\charrsid13183729 #}{\rtlch\fcs1 \af0 \ltrch\fcs0 \cs17\b0\v\fs20\cf9\loch\af1\hich\af1\dbch\af31501\insrsid7353036\charrsid13183729 \hich\af1\dbch\af31501\loch\f1 _x000d__x000a_&lt;/DocAmend&gt;}{\rtlch\fcs1 \af0 \ltrch\fcs0 \insrsid7353036\charrsid13183729 _x000d__x000a_\par }\pard\plain \ltrpar\s20\ql \li0\ri0\keepn\nowidctlpar\wrapdefault\aspalpha\aspnum\faauto\adjustright\rin0\lin0\itap0\pararsid7353036 \rtlch\fcs1 \af0\afs20\alang1025 \ltrch\fcs0 \b\fs24\lang2057\langfe2057\cgrid\langnp2057\langfenp2057 {\rtlch\fcs1 \af0 _x000d__x000a_\ltrch\fcs0 \cs17\b0\v\fs20\cf9\loch\af1\hich\af1\dbch\af31501\insrsid7353036\charrsid13183729 \hich\af1\dbch\af31501\loch\f1 &lt;Article&gt;}{\rtlch\fcs1 \af0 \ltrch\fcs0 \insrsid7353036\charrsid13183729 #}{\rtlch\fcs1 \af1 \ltrch\fcs0 _x000d__x000a_\cs18\v\f1\fs20\cf15\insrsid7353036\charrsid13183729 MNU[AMACTPARTYES][AMACTPARTNO]@CHOICE@AMACTMNU}{\rtlch\fcs1 \af0 \ltrch\fcs0 \insrsid7353036\charrsid13183729 #}{\rtlch\fcs1 \af0 \ltrch\fcs0 _x000d__x000a_\cs17\b0\v\fs20\cf9\loch\af1\hich\af1\dbch\af31501\insrsid7353036\charrsid13183729 \hich\af1\dbch\af31501\loch\f1 &lt;/Article&gt;}{\rtlch\fcs1 \af0 \ltrch\fcs0 \insrsid7353036\charrsid13183729 _x000d__x000a_\par }\pard\plain \ltrpar\ql \li0\ri0\keepn\widctlpar\wrapdefault\aspalpha\aspnum\faauto\adjustright\rin0\lin0\itap0\pararsid7353036 \rtlch\fcs1 \af0\afs20\alang1025 \ltrch\fcs0 \fs24\lang2057\langfe2057\cgrid\langnp2057\langfenp2057 {\rtlch\fcs1 \af0 _x000d__x000a_\ltrch\fcs0 \cs17\v\fs20\cf9\loch\af1\hich\af1\dbch\af31501\insrsid7353036\charrsid13183729 \hich\af1\dbch\af31501\loch\f1 &lt;DocAmend2&gt;&lt;OptDel&gt;}{\rtlch\fcs1 \af0 \ltrch\fcs0 \insrsid7353036\charrsid13183729 #}{\rtlch\fcs1 \af1 \ltrch\fcs0 _x000d__x000a_\cs18\v\f1\fs20\cf15\insrsid7353036\charrsid13183729 MNU[OPTNRACTYES][NOTAPP]@CHOICE@AMACTMNU}{\rtlch\fcs1 \af0 \ltrch\fcs0 \insrsid7353036\charrsid13183729 #}{\rtlch\fcs1 \af0 \ltrch\fcs0 _x000d__x000a_\cs17\v\fs20\cf9\loch\af1\hich\af1\dbch\af31501\insrsid7353036\charrsid13183729 \hich\af1\dbch\af31501\loch\f1 &lt;/OptDel&gt;&lt;/DocAmend2&gt;}{\rtlch\fcs1 \af0 \ltrch\fcs0 \insrsid7353036\charrsid13183729 _x000d__x000a_\par }\pard \ltrpar\ql \li0\ri0\widctlpar\wrapdefault\aspalpha\aspnum\faauto\adjustright\rin0\lin0\itap0\pararsid7353036 {\rtlch\fcs1 \af0 \ltrch\fcs0 \cs17\v\fs20\cf9\loch\af1\hich\af1\dbch\af31501\insrsid7353036\charrsid13183729 _x000d__x000a_\hich\af1\dbch\af31501\loch\f1 &lt;Article2&gt;&lt;OptDel&gt;}{\rtlch\fcs1 \af0 \ltrch\fcs0 \insrsid7353036\charrsid13183729 #}{\rtlch\fcs1 \af1 \ltrch\fcs0 \cs18\v\f1\fs20\cf15\insrsid7353036\charrsid13183729 MNU[OPTACTPARTYES][NOTAPP]@CHOICE@AMACTMNU}{\rtlch\fcs1 _x000d__x000a_\af0 \ltrch\fcs0 \insrsid7353036\charrsid13183729 #}{\rtlch\fcs1 \af0 \ltrch\fcs0 \cs17\v\fs20\cf9\loch\af1\hich\af1\dbch\af31501\insrsid7353036\charrsid13183729 \hich\af1\dbch\af31501\loch\f1 &lt;/OptDel&gt;&lt;/Article2&gt;}{\rtlch\fcs1 \af0 \ltrch\fcs0 _x000d__x000a_\insrsid7353036\charrsid13183729 _x000d__x000a_\par \ltrrow}\trowd \irow0\irowband0\ltrrow\ts11\trqc\trgaph340\trleft-340\trftsWidth3\trwWidth9752\trftsWidthB3\trpaddl340\trpaddr340\trpaddfl3\trpaddft3\trpaddfb3\trpaddfr3\tblrsid2517430\tblind0\tblindtype3 \clvertalt\clbrdrt\brdrtbl \clbrdrl\brdrtbl _x000d__x000a_\clbrdrb\brdrtbl \clbrdrr\brdrtbl \cltxlrtb\clftsWidth3\clwWidth9752\clshdrawnil \cellx9412\pard\plain \ltrpar\ql \li0\ri0\keepn\widctlpar\intbl\wrapdefault\aspalpha\aspnum\faauto\adjustright\rin0\lin0\pararsid14315216 \rtlch\fcs1 \af0\afs20\alang1025 _x000d__x000a_\ltrch\fcs0 \fs24\lang2057\langfe2057\cgrid\langnp2057\langfenp2057 {\rtlch\fcs1 \af0 \ltrch\fcs0 \insrsid7353036\charrsid13183729 \cell }\pard\plain \ltrpar\ql \li0\ri0\widctlpar\intbl\wrapdefault\aspalpha\aspnum\faauto\adjustright\rin0\lin0 \rtlch\fcs1 _x000d__x000a_\af0\afs20\alang1025 \ltrch\fcs0 \fs24\lang2057\langfe2057\cgrid\langnp2057\langfenp2057 {\rtlch\fcs1 \af0 \ltrch\fcs0 \insrsid7353036\charrsid13183729 \trowd \irow0\irowband0\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9752\clshdrawnil \cellx9412\row \ltrrow}\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5\qc \li0\ri0\sa240\keepn\nowidctlpar\intbl\wrapdefault\aspalpha\aspnum\faauto\adjustright\rin0\lin0\pararsid14315216 \rtlch\fcs1 \af0\afs20\alang1025 \ltrch\fcs0 \i\fs24\lang2057\langfe2057\cgrid\langnp2057\langfenp2057 {\rtlch\fcs1 \af0 \ltrch\fcs0 _x000d__x000a_\insrsid7353036\charrsid13183729 #}{\rtlch\fcs1 \af1 \ltrch\fcs0 \cs18\v\f1\fs20\cf15\insrsid7353036\charrsid13183729 MNU[OPTLEFTAMACT][LEFTPROP]@CHOICE@AMACTMNU}{\rtlch\fcs1 \af0 \ltrch\fcs0 \insrsid7353036\charrsid13183729 #\cell Amendment\cell _x000d__x000a_}\pard\plain \ltrpar\ql \li0\ri0\widctlpar\intbl\wrapdefault\aspalpha\aspnum\faauto\adjustright\rin0\lin0 \rtlch\fcs1 \af0\afs20\alang1025 \ltrch\fcs0 \fs24\lang2057\langfe2057\cgrid\langnp2057\langfenp2057 {\rtlch\fcs1 \af0 \ltrch\fcs0 _x000d__x000a_\insrsid7353036\charrsid13183729 \trowd \irow1\irowband1\ltrrow\ts11\trqc\trgaph340\trleft-340\trftsWidth3\trwWidth9752\trftsWidthB3\trpaddl340\trpaddr340\trpaddfl3\trpaddft3\trpaddfb3\trpaddfr3\tblrsid2517430\tblind0\tblindtype3 \clvertalt\clbrdrt_x000d__x000a_\brdrtbl \clbrdrl\brdrtbl \clbrdrb\brdrtbl \clbrdrr\brdrtbl \cltxlrtb\clftsWidth3\clwWidth4876\clshdrawnil \cellx4536\clvertalt\clbrdrt\brdrtbl \clbrdrl\brdrtbl \clbrdrb\brdrtbl \clbrdrr\brdrtbl \cltxlrtb\clftsWidth3\clwWidth4876\clshdrawnil \cellx9412_x000d__x000a_\row \ltrrow}\pard\plain \ltrpar\s19\ql \li0\ri0\sa120\nowidctlpar\intbl\wrapdefault\aspalpha\aspnum\faauto\adjustright\rin0\lin0\pararsid2517430 \rtlch\fcs1 \af0\afs20\alang1025 \ltrch\fcs0 \fs24\lang2057\langfe2057\cgrid\langnp2057\langfenp2057 {_x000d__x000a_\rtlch\fcs1 \af0 \ltrch\fcs0 \insrsid7353036\charrsid13183729 ##\cell ##}{\rtlch\fcs1 \af0\afs24 \ltrch\fcs0 \insrsid7353036\charrsid13183729 \cell }\pard\plain \ltrpar\ql \li0\ri0\widctlpar\intbl\wrapdefault\aspalpha\aspnum\faauto\adjustright\rin0\lin0 _x000d__x000a_\rtlch\fcs1 \af0\afs20\alang1025 \ltrch\fcs0 \fs24\lang2057\langfe2057\cgrid\langnp2057\langfenp2057 {\rtlch\fcs1 \af0 \ltrch\fcs0 \insrsid7353036\charrsid13183729 \trowd \irow2\irowband2\lastrow \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4\qr \li0\ri0\sb240\sa240\nowidctlpar\wrapdefault\aspalpha\aspnum\faauto\adjustright\rin0\lin0\itap0\pararsid7353036 \rtlch\fcs1 \af0\afs20\alang1025 \ltrch\fcs0 \fs24\lang2057\langfe2057\cgrid\langnp2057\langfenp2057 {\rtlch\fcs1 \af0 \ltrch\fcs0 _x000d__x000a_\insrsid7353036\charrsid13183729 Or. }{\rtlch\fcs1 \af0 \ltrch\fcs0 \cs17\v\fs20\cf9\loch\af1\hich\af1\dbch\af31501\insrsid7353036\charrsid13183729 \hich\af1\dbch\af31501\loch\f1 &lt;Original&gt;}{\rtlch\fcs1 \af0 \ltrch\fcs0 \insrsid7353036\charrsid13183729 #}_x000d__x000a_{\rtlch\fcs1 \af1 \ltrch\fcs0 \cs18\v\f1\fs20\cf15\insrsid7353036\charrsid13183729 MNU[ORLANGONE][ORLANGMORE]@CHOICE@ORLANGMNU}{\rtlch\fcs1 \af0 \ltrch\fcs0 \insrsid7353036\charrsid13183729 #}{\rtlch\fcs1 \af0 \ltrch\fcs0 _x000d__x000a_\cs17\v\fs20\cf9\loch\af1\hich\af1\dbch\af31501\insrsid7353036\charrsid13183729 \hich\af1\dbch\af31501\loch\f1 &lt;/Original&gt;}{\rtlch\fcs1 \af0 \ltrch\fcs0 \insrsid7353036\charrsid13183729 _x000d__x000a_\par }\pard\plain \ltrpar\s22\qc \li0\ri0\sb240\sa240\nowidctlpar\wrapdefault\aspalpha\aspnum\faauto\adjustright\rin0\lin0\itap0\pararsid7353036 \rtlch\fcs1 \af0\afs20\alang1025 \ltrch\fcs0 \i\fs24\lang2057\langfe2057\cgrid\langnp2057\langfenp2057 {_x000d__x000a_\rtlch\fcs1 \af0 \ltrch\fcs0 \cs17\i0\v\fs20\cf9\loch\af1\hich\af1\dbch\af31501\insrsid7353036\charrsid13183729 \hich\af1\dbch\af31501\loch\f1 &lt;OptDel&gt;}{\rtlch\fcs1 \af0 \ltrch\fcs0 \insrsid7353036\charrsid13183729 #}{\rtlch\fcs1 \af1 \ltrch\fcs0 _x000d__x000a_\cs18\v\f1\fs20\cf15\insrsid7353036\charrsid13183729 MNU[CROSSREFNO][CROSSREFYES]@CHOICE@}{\rtlch\fcs1 \af0 \ltrch\fcs0 \insrsid7353036\charrsid13183729 #}{\rtlch\fcs1 \af0 \ltrch\fcs0 _x000d__x000a_\cs17\i0\v\fs20\cf9\loch\af1\hich\af1\dbch\af31501\insrsid7353036\charrsid13183729 \hich\af1\dbch\af31501\loch\f1 &lt;/OptDel&gt;}{\rtlch\fcs1 \af0 \ltrch\fcs0 \insrsid7353036\charrsid13183729 _x000d__x000a_\par }\pard\plain \ltrpar\s23\qc \li0\ri0\sb240\sa240\keepn\nowidctlpar\wrapdefault\aspalpha\aspnum\faauto\adjustright\rin0\lin0\itap0\pararsid7353036 \rtlch\fcs1 \af0\afs20\alang1025 \ltrch\fcs0 \i\fs24\lang2057\langfe2057\cgrid\langnp2057\langfenp2057 {_x000d__x000a_\rtlch\fcs1 \af0 \ltrch\fcs0 \cs17\i0\v\fs20\cf9\loch\af1\hich\af1\dbch\af31501\insrsid7353036\charrsid13183729 \hich\af1\dbch\af31501\loch\f1 &lt;TitreJust&gt;}{\rtlch\fcs1 \af0 \ltrch\fcs0 \insrsid7353036\charrsid13183729 Justification}{\rtlch\fcs1 \af0 _x000d__x000a_\ltrch\fcs0 \cs17\i0\v\fs20\cf9\loch\af1\hich\af1\dbch\af31501\insrsid7353036\charrsid13183729 \hich\af1\dbch\af31501\loch\f1 &lt;/TitreJust&gt;}{\rtlch\fcs1 \af0 \ltrch\fcs0 \insrsid7353036\charrsid13183729 _x000d__x000a_\par }\pard\plain \ltrpar\s21\ql \li0\ri0\sa240\nowidctlpar\wrapdefault\aspalpha\aspnum\faauto\adjustright\rin0\lin0\itap0\pararsid7353036 \rtlch\fcs1 \af0\afs20\alang1025 \ltrch\fcs0 \i\fs24\lang2057\langfe2057\cgrid\langnp2057\langfenp2057 {\rtlch\fcs1 \af0 _x000d__x000a_\ltrch\fcs0 \cs17\i0\v\fs20\cf9\loch\af1\hich\af1\dbch\af31501\insrsid7353036\charrsid13183729 \hich\af1\dbch\af31501\loch\f1 &lt;OptDelPrev&gt;}{\rtlch\fcs1 \af0 \ltrch\fcs0 \insrsid7353036\charrsid13183729 #}{\rtlch\fcs1 \af1 \ltrch\fcs0 _x000d__x000a_\cs18\v\f1\fs20\cf15\insrsid7353036\charrsid13183729 MNU[TEXTJUSTYES][TEXTJUSTNO]@CHOICE@}{\rtlch\fcs1 \af0 \ltrch\fcs0 \insrsid7353036\charrsid13183729 #}{\rtlch\fcs1 \af0 \ltrch\fcs0 _x000d__x000a_\cs17\i0\v\fs20\cf9\loch\af1\hich\af1\dbch\af31501\insrsid7353036\charrsid13183729 \hich\af1\dbch\af31501\loch\f1 &lt;/OptDelPrev&gt;}{\rtlch\fcs1 \af0 \ltrch\fcs0 \insrsid7353036\charrsid13183729 _x000d__x000a_\par }\pard\plain \ltrpar\ql \li0\ri0\widctlpar\wrapdefault\aspalpha\aspnum\faauto\adjustright\rin0\lin0\itap0\pararsid7353036 \rtlch\fcs1 \af0\afs20\alang1025 \ltrch\fcs0 \fs24\lang2057\langfe2057\cgrid\langnp2057\langfenp2057 {\rtlch\fcs1 \af0 \ltrch\fcs0 _x000d__x000a_\cs17\v\fs20\cf9\loch\af1\hich\af1\dbch\af31501\insrsid7353036\charrsid13183729 \hich\af1\dbch\af31501\loch\f1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10f8_x000d__x000a_367124e0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615661 HideTWBExt;}{\s16\ql \li0\ri0\sa120\nowidctlpar\wrapdefault\aspalpha\aspnum\faauto\adjustright\rin0\lin0\itap0 \rtlch\fcs1 \af0\afs20\alang1025 \ltrch\fcs0 _x000d__x000a_\fs24\lang2057\langfe2057\cgrid\langnp2057\langfenp2057 \sbasedon0 \snext16 \spriority0 \styrsid11615661 Normal6a;}{\s17\ql \li0\ri0\nowidctlpar\wrapdefault\aspalpha\aspnum\faauto\adjustright\rin0\lin0\itap0 \rtlch\fcs1 \af0\afs20\alang1025 \ltrch\fcs0 _x000d__x000a_\b\fs24\lang2057\langfe2057\cgrid\langnp2057\langfenp2057 \sbasedon0 \snext17 \spriority0 \styrsid11615661 NormalBold;}{\s18\ql \li0\ri0\sa240\nowidctlpar\wrapdefault\aspalpha\aspnum\faauto\adjustright\rin0\lin0\itap0 \rtlch\fcs1 \af0\afs20\alang1025 _x000d__x000a_\ltrch\fcs0 \i\fs24\lang2057\langfe2057\cgrid\langnp2057\langfenp2057 \sbasedon0 \snext18 \spriority0 \styrsid11615661 AmJustText;}{\s19\qc \li0\ri0\sb240\sa240\nowidctlpar\wrapdefault\aspalpha\aspnum\faauto\adjustright\rin0\lin0\itap0 \rtlch\fcs1 _x000d__x000a_\af0\afs20\alang1025 \ltrch\fcs0 \i\fs24\lang2057\langfe2057\cgrid\langnp2057\langfenp2057 \sbasedon0 \snext19 \spriority0 \styrsid11615661 AmCrossRef;}{_x000d__x000a_\s20\qc \li0\ri0\sb240\sa240\keepn\nowidctlpar\wrapdefault\aspalpha\aspnum\faauto\adjustright\rin0\lin0\itap0 \rtlch\fcs1 \af0\afs20\alang1025 \ltrch\fcs0 \i\fs24\lang2057\langfe2057\cgrid\langnp2057\langfenp2057 _x000d__x000a_\sbasedon0 \snext18 \spriority0 \styrsid11615661 AmJustTitle;}{\s21\qr \li0\ri0\sb240\sa240\nowidctlpar\wrapdefault\aspalpha\aspnum\faauto\adjustright\rin0\lin0\itap0 \rtlch\fcs1 \af0\afs20\alang1025 \ltrch\fcs0 _x000d__x000a_\fs24\lang2057\langfe2057\cgrid\langnp2057\langfenp2057 \sbasedon0 \snext21 \spriority0 \styrsid11615661 AmOrLang;}{\s22\qc \li0\ri0\sa240\nowidctlpar\wrapdefault\aspalpha\aspnum\faauto\adjustright\rin0\lin0\itap0 \rtlch\fcs1 \af0\afs20\alang1025 _x000d__x000a_\ltrch\fcs0 \i\fs24\lang2057\langfe2057\cgrid\langnp2057\langfenp2057 \sbasedon0 \snext22 \spriority0 \styrsid11615661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1615661 AmNumberTabs;}{\s24\ql \li0\ri0\sb240\nowidctlpar\wrapdefault\aspalpha\aspnum\faauto\adjustright\rin0\lin0\itap0 \rtlch\fcs1 _x000d__x000a_\af0\afs20\alang1025 \ltrch\fcs0 \b\fs24\lang2057\langfe2057\cgrid\langnp2057\langfenp2057 \sbasedon0 \snext24 \spriority0 \styrsid11615661 NormalBold12b;}}{\*\rsidtbl \rsid24658\rsid358857\rsid735077\rsid787282\rsid2101837\rsid2892074\rsid3622648_x000d__x000a_\rsid4666813\rsid5708216\rsid6641733\rsid7553164\rsid8465581\rsid8681905\rsid8724649\rsid9636012\rsid9862312\rsid11215221\rsid11370291\rsid11434737\rsid11607138\rsid11615661\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20\min19}{\revtim\yr2019\mo7\dy3\hr20\min19}{\version1}{\edmins0}{\nofpages1}{\nofwords32}{\nofchars369}{\*\company European Parliament}{\nofcharsws373}{\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615661\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2101837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2101837 \chftnsepc _x000d__x000a_\par }}{\*\aftnsep \ltrpar \pard\plain \ltrpar\ql \li0\ri0\widctlpar\wrapdefault\aspalpha\aspnum\faauto\adjustright\rin0\lin0\itap0 \rtlch\fcs1 \af0\afs20\alang1025 \ltrch\fcs0 \fs24\lang2057\langfe2057\cgrid\langnp2057\langfenp2057 {\rtlch\fcs1 \af0 _x000d__x000a_\ltrch\fcs0 \insrsid2101837 \chftnsep _x000d__x000a_\par }}{\*\aftnsepc \ltrpar \pard\plain \ltrpar\ql \li0\ri0\widctlpar\wrapdefault\aspalpha\aspnum\faauto\adjustright\rin0\lin0\itap0 \rtlch\fcs1 \af0\afs20\alang1025 \ltrch\fcs0 \fs24\lang2057\langfe2057\cgrid\langnp2057\langfenp2057 {\rtlch\fcs1 \af0 _x000d__x000a_\ltrch\fcs0 \insrsid210183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1615661 \rtlch\fcs1 \af0\afs20\alang1025 \ltrch\fcs0 \b\fs24\lang2057\langfe2057\cgrid\langnp2057\langfenp2057 {\rtlch\fcs1 \af0 \ltrch\fcs0 \cs15\b0\v\f1\fs20\cf9\lang1030\langfe2057\langnp1030\insrsid11615661\charrsid5141309 _x000d__x000a_{\*\bkmkstart restart}&lt;Amend&gt;}{\rtlch\fcs1 \af0 \ltrch\fcs0 \lang1030\langfe2057\langnp1030\insrsid11615661\charrsid5141309 [ZAMENDMENT]\tab \tab }{\rtlch\fcs1 \af0 \ltrch\fcs0 _x000d__x000a_\cs15\b0\v\f1\fs20\cf9\lang1030\langfe2057\langnp1030\insrsid11615661\charrsid5141309 &lt;NumAm&gt;}{\rtlch\fcs1 \af0 \ltrch\fcs0 \lang1030\langfe2057\langnp1030\insrsid11615661\charrsid5141309 [ZNRAM]}{\rtlch\fcs1 \af0 \ltrch\fcs0 _x000d__x000a_\cs15\b0\v\f1\fs20\cf9\lang1030\langfe2057\langnp1030\insrsid11615661\charrsid5141309 &lt;/NumAm&gt;}{\rtlch\fcs1 \af0 \ltrch\fcs0 \lang1030\langfe2057\langnp1030\insrsid11615661\charrsid5141309 _x000d__x000a_\par }\pard\plain \ltrpar\s24\ql \li0\ri0\sb240\keepn\nowidctlpar\wrapdefault\aspalpha\aspnum\faauto\adjustright\rin0\lin0\itap0\pararsid11615661 \rtlch\fcs1 \af0\afs20\alang1025 \ltrch\fcs0 \b\fs24\lang2057\langfe2057\cgrid\langnp2057\langfenp2057 {_x000d__x000a_\rtlch\fcs1 \af0 \ltrch\fcs0 \cs15\b0\v\f1\fs20\cf9\lang1030\langfe2057\langnp1030\insrsid11615661\charrsid5141309 &lt;DocAmend&gt;}{\rtlch\fcs1 \af0 \ltrch\fcs0 \lang1030\langfe2057\langnp1030\insrsid11615661\charrsid5141309 [ZPROPOSAL][ZAMACT]}{\rtlch\fcs1 _x000d__x000a_\af0 \ltrch\fcs0 \cs15\b0\v\f1\fs20\cf9\lang1030\langfe2057\langnp1030\insrsid11615661\charrsid5141309 &lt;/DocAmend&gt;}{\rtlch\fcs1 \af0 \ltrch\fcs0 \lang1030\langfe2057\langnp1030\insrsid11615661\charrsid5141309 _x000d__x000a_\par }\pard\plain \ltrpar\s17\ql \li0\ri0\keepn\nowidctlpar\wrapdefault\aspalpha\aspnum\faauto\adjustright\rin0\lin0\itap0\pararsid11615661 \rtlch\fcs1 \af0\afs20\alang1025 \ltrch\fcs0 \b\fs24\lang2057\langfe2057\cgrid\langnp2057\langfenp2057 {\rtlch\fcs1 _x000d__x000a_\af0 \ltrch\fcs0 \cs15\b0\v\f1\fs20\cf9\lang1030\langfe2057\langnp1030\insrsid11615661\charrsid5141309 &lt;Article&gt;}{\rtlch\fcs1 \af0 \ltrch\fcs0 \lang1030\langfe2057\langnp1030\insrsid11615661\charrsid5141309 [ZAMPART]}{\rtlch\fcs1 \af0 \ltrch\fcs0 _x000d__x000a_\cs15\b0\v\f1\fs20\cf9\lang1030\langfe2057\langnp1030\insrsid11615661\charrsid5141309 &lt;/Article&gt;}{\rtlch\fcs1 \af0 \ltrch\fcs0 \lang1030\langfe2057\langnp1030\insrsid11615661\charrsid5141309 _x000d__x000a_\par }\pard\plain \ltrpar\ql \li0\ri0\keepn\widctlpar\wrapdefault\aspalpha\aspnum\faauto\adjustright\rin0\lin0\itap0\pararsid11615661 \rtlch\fcs1 \af0\afs20\alang1025 \ltrch\fcs0 \fs24\lang2057\langfe2057\cgrid\langnp2057\langfenp2057 {\rtlch\fcs1 \af0 _x000d__x000a_\ltrch\fcs0 \cs15\v\f1\fs20\cf9\lang1043\langfe2057\langnp1043\insrsid11615661\charrsid5141309 &lt;DocAmend2&gt;&lt;OptDel&gt;}{\rtlch\fcs1 \af0 \ltrch\fcs0 \lang1043\langfe2057\langnp1043\insrsid11615661\charrsid5141309 [ZNRACT]}{\rtlch\fcs1 \af0 \ltrch\fcs0 _x000d__x000a_\cs15\v\f1\fs20\cf9\lang1043\langfe2057\langnp1043\insrsid11615661\charrsid5141309 &lt;/OptDel&gt;&lt;/DocAmend2&gt;}{\rtlch\fcs1 \af0 \ltrch\fcs0 \lang1043\langfe2057\langnp1043\insrsid11615661\charrsid5141309 _x000d__x000a_\par }\pard \ltrpar\ql \li0\ri0\widctlpar\wrapdefault\aspalpha\aspnum\faauto\adjustright\rin0\lin0\itap0\pararsid11615661 {\rtlch\fcs1 \af0 \ltrch\fcs0 \cs15\v\f1\fs20\cf9\lang1036\langfe2057\langnp1036\insrsid11615661\charrsid5141309 &lt;Article2&gt;&lt;OptDel&gt;}{_x000d__x000a_\rtlch\fcs1 \af0 \ltrch\fcs0 \lang1036\langfe2057\langnp1036\insrsid11615661\charrsid5141309 [ZACTPART]}{\rtlch\fcs1 \af0 \ltrch\fcs0 \cs15\v\f1\fs20\cf9\lang1036\langfe2057\langnp1036\insrsid11615661\charrsid5141309 &lt;/OptDel&gt;&lt;/Article2&gt;}{\rtlch\fcs1 _x000d__x000a_\af0 \ltrch\fcs0 \lang1036\langfe2057\langnp1036\insrsid11615661\charrsid5141309 _x000d__x000a_\par \ltrrow}\trowd \irow0\irowband0\ltrrow\ts11\trqc\trgaph340\trleft-340\trftsWidth3\trwWidth9752\trftsWidthB3\trpaddl340\trpaddr340\trpaddfl3\trpaddft3\trpaddfb3\trpaddfr3\tblrsid2517430\tblind0\tblindtype3 \clvertalt\clbrdrt\brdrtbl \clbrdrl\brdrtbl _x000d__x000a_\clbrdrb\brdrtbl \clbrdrr\brdrtbl \cltxlrtb\clftsWidth3\clwWidth9752\clshdrawnil \cellx9412\pard\plain \ltrpar\ql \li0\ri0\keepn\widctlpar\intbl\wrapdefault\aspalpha\aspnum\faauto\adjustright\rin0\lin0\pararsid14315216 \rtlch\fcs1 \af0\afs20\alang1025 _x000d__x000a_\ltrch\fcs0 \fs24\lang2057\langfe2057\cgrid\langnp2057\langfenp2057 {\rtlch\fcs1 \af0 \ltrch\fcs0 \lang1036\langfe2057\langnp1036\insrsid11615661\charrsid5141309 \cell }\pard\plain \ltrpar_x000d__x000a_\ql \li0\ri0\widctlpar\intbl\wrapdefault\aspalpha\aspnum\faauto\adjustright\rin0\lin0 \rtlch\fcs1 \af0\afs20\alang1025 \ltrch\fcs0 \fs24\lang2057\langfe2057\cgrid\langnp2057\langfenp2057 {\rtlch\fcs1 \af0 \ltrch\fcs0 \insrsid11615661\charrsid6040559 _x000d__x000a_\trowd \irow0\irowband0\ltrrow\ts11\trqc\trgaph340\trleft-340\trftsWidth3\trwWidth9752\trftsWidthB3\trpaddl340\trpaddr340\trpaddfl3\trpaddft3\trpaddfb3\trpaddfr3\tblrsid2517430\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15216 \rtlch\fcs1 \af0\afs20\alang1025 \ltrch\fcs0 \i\fs24\lang2057\langfe2057\cgrid\langnp2057\langfenp2057 {\rtlch\fcs1 \af0 \ltrch\fcs0 _x000d__x000a_\insrsid11615661\charrsid4593153 [ZLEFT]\cell [ZRIGHT]\cell }\pard\plain \ltrpar\ql \li0\ri0\widctlpar\intbl\wrapdefault\aspalpha\aspnum\faauto\adjustright\rin0\lin0 \rtlch\fcs1 \af0\afs20\alang1025 \ltrch\fcs0 _x000d__x000a_\fs24\lang2057\langfe2057\cgrid\langnp2057\langfenp2057 {\rtlch\fcs1 \af0 \ltrch\fcs0 \insrsid11615661\charrsid4593153 \trowd \irow1\irowband1\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2517430 \rtlch\fcs1 \af0\afs20\alang1025 \ltrch\fcs0 \fs24\lang2057\langfe2057\cgrid\langnp2057\langfenp2057 {\rtlch\fcs1 \af0 \ltrch\fcs0 _x000d__x000a_\insrsid11615661\charrsid4593153 [ZTEXTL]\cell [ZTEXTR]}{\rtlch\fcs1 \af0\afs24 \ltrch\fcs0 \insrsid11615661\charrsid4593153 \cell }\pard\plain \ltrpar\ql \li0\ri0\widctlpar\intbl\wrapdefault\aspalpha\aspnum\faauto\adjustright\rin0\lin0 \rtlch\fcs1 _x000d__x000a_\af0\afs20\alang1025 \ltrch\fcs0 \fs24\lang2057\langfe2057\cgrid\langnp2057\langfenp2057 {\rtlch\fcs1 \af0 \ltrch\fcs0 \insrsid11615661\charrsid4593153 \trowd \irow2\irowband2\lastrow \ltrrow_x000d__x000a_\ts11\trqc\trgaph340\trleft-340\trftsWidth3\trwWidth9752\trftsWidthB3\trpaddl340\trpaddr340\trpaddfl3\trpaddft3\trpaddfb3\trpaddfr3\tblrsid2517430\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1615661 \rtlch\fcs1 \af0\afs20\alang1025 \ltrch\fcs0 \fs24\lang2057\langfe2057\cgrid\langnp2057\langfenp2057 {\rtlch\fcs1 \af0 \ltrch\fcs0 _x000d__x000a_\insrsid11615661\charrsid4593153 Or. }{\rtlch\fcs1 \af0 \ltrch\fcs0 \cs15\v\f1\fs20\cf9\insrsid11615661\charrsid4593153 &lt;Original&gt;}{\rtlch\fcs1 \af0 \ltrch\fcs0 \insrsid11615661\charrsid4593153 [ZORLANG]}{\rtlch\fcs1 \af0 \ltrch\fcs0 _x000d__x000a_\cs15\v\f1\fs20\cf9\insrsid11615661\charrsid4593153 &lt;/Original&gt;}{\rtlch\fcs1 \af0 \ltrch\fcs0 \insrsid11615661\charrsid4593153 _x000d__x000a_\par }\pard\plain \ltrpar\s19\qc \li0\ri0\sb240\sa240\nowidctlpar\wrapdefault\aspalpha\aspnum\faauto\adjustright\rin0\lin0\itap0\pararsid11615661 \rtlch\fcs1 \af0\afs20\alang1025 \ltrch\fcs0 \i\fs24\lang2057\langfe2057\cgrid\langnp2057\langfenp2057 {_x000d__x000a_\rtlch\fcs1 \af0 \ltrch\fcs0 \cs15\i0\v\f1\fs20\cf9\insrsid11615661\charrsid4593153 &lt;OptDel&gt;}{\rtlch\fcs1 \af0 \ltrch\fcs0 \insrsid11615661\charrsid4593153 [ZCROSSREF]}{\rtlch\fcs1 \af0 \ltrch\fcs0 \cs15\i0\v\f1\fs20\cf9\insrsid11615661\charrsid4593153 _x000d__x000a_&lt;/OptDel&gt;}{\rtlch\fcs1 \af0 \ltrch\fcs0 \insrsid11615661\charrsid4593153 _x000d__x000a_\par }\pard\plain \ltrpar\s20\qc \li0\ri0\sb240\sa240\keepn\nowidctlpar\wrapdefault\aspalpha\aspnum\faauto\adjustright\rin0\lin0\itap0\pararsid11615661 \rtlch\fcs1 \af0\afs20\alang1025 \ltrch\fcs0 \i\fs24\lang2057\langfe2057\cgrid\langnp2057\langfenp2057 {_x000d__x000a_\rtlch\fcs1 \af0 \ltrch\fcs0 \cs15\i0\v\f1\fs20\cf9\insrsid11615661\charrsid4593153 &lt;TitreJust&gt;}{\rtlch\fcs1 \af0 \ltrch\fcs0 \insrsid11615661\charrsid4593153 [ZJUSTIFICATION]}{\rtlch\fcs1 \af0 \ltrch\fcs0 _x000d__x000a_\cs15\i0\v\f1\fs20\cf9\insrsid11615661\charrsid4593153 &lt;/TitreJust&gt;}{\rtlch\fcs1 \af0 \ltrch\fcs0 \insrsid11615661\charrsid4593153 _x000d__x000a_\par }\pard\plain \ltrpar\s18\ql \li0\ri0\sa240\nowidctlpar\wrapdefault\aspalpha\aspnum\faauto\adjustright\rin0\lin0\itap0\pararsid11615661 \rtlch\fcs1 \af0\afs20\alang1025 \ltrch\fcs0 \i\fs24\lang2057\langfe2057\cgrid\langnp2057\langfenp2057 {\rtlch\fcs1 _x000d__x000a_\af0 \ltrch\fcs0 \cs15\i0\v\f1\fs20\cf9\insrsid11615661\charrsid4593153 &lt;OptDelPrev&gt;}{\rtlch\fcs1 \af0 \ltrch\fcs0 \insrsid11615661\charrsid4593153 [ZTEXTJUST]}{\rtlch\fcs1 \af0 \ltrch\fcs0 \cs15\i0\v\f1\fs20\cf9\insrsid11615661\charrsid4593153 _x000d__x000a_&lt;/OptDelPrev&gt;}{\rtlch\fcs1 \af0 \ltrch\fcs0 \insrsid11615661\charrsid4593153 _x000d__x000a_\par }\pard\plain \ltrpar\ql \li0\ri0\widctlpar\wrapdefault\aspalpha\aspnum\faauto\adjustright\rin0\lin0\itap0\pararsid11615661 \rtlch\fcs1 \af0\afs20\alang1025 \ltrch\fcs0 \fs24\lang2057\langfe2057\cgrid\langnp2057\langfenp2057 {\rtlch\fcs1 \af0 \ltrch\fcs0 _x000d__x000a_\cs15\v\f1\fs20\cf9\insrsid11615661\charrsid4593153 &lt;/Amend&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e070_x000d__x000a_25cecb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R_COD_1amCom"/>
    <w:docVar w:name="strSubDir" w:val="1201"/>
    <w:docVar w:name="TVTAMPART" w:val="Article 10 –  paragraph 6"/>
    <w:docVar w:name="TXTAUTHOR" w:val="Manolis Kefalogiannis"/>
    <w:docVar w:name="TXTLANGUE" w:val="EL"/>
    <w:docVar w:name="TXTLANGUEMIN" w:val="el"/>
    <w:docVar w:name="TXTNRC" w:val="000/2020"/>
    <w:docVar w:name="TXTNRCOD" w:val="2020/0006"/>
    <w:docVar w:name="TXTNRCOM" w:val="(2020)0022"/>
    <w:docVar w:name="TXTNRFIRSTAM" w:val="1"/>
    <w:docVar w:name="TXTNRLASTAM" w:val="12"/>
    <w:docVar w:name="TXTNRPE" w:val="648.609"/>
    <w:docVar w:name="TXTPEorAP" w:val="PE"/>
    <w:docVar w:name="TXTROUTE" w:val="PR\1202915EL.docx"/>
    <w:docVar w:name="TXTTITLE" w:val="establishing the Just Transition Fund"/>
    <w:docVar w:name="TXTVERSION" w:val="03-00"/>
  </w:docVars>
  <w:rsids>
    <w:rsidRoot w:val="00C92AF1"/>
    <w:rsid w:val="00011AAB"/>
    <w:rsid w:val="00012351"/>
    <w:rsid w:val="000139E5"/>
    <w:rsid w:val="00015BA9"/>
    <w:rsid w:val="00045743"/>
    <w:rsid w:val="00053732"/>
    <w:rsid w:val="00076D48"/>
    <w:rsid w:val="00084DD2"/>
    <w:rsid w:val="00084E89"/>
    <w:rsid w:val="000B7489"/>
    <w:rsid w:val="000C3448"/>
    <w:rsid w:val="000C6F90"/>
    <w:rsid w:val="000F1096"/>
    <w:rsid w:val="000F70B2"/>
    <w:rsid w:val="00105500"/>
    <w:rsid w:val="0010763C"/>
    <w:rsid w:val="00120948"/>
    <w:rsid w:val="00123DD5"/>
    <w:rsid w:val="00126F52"/>
    <w:rsid w:val="001277AE"/>
    <w:rsid w:val="00142215"/>
    <w:rsid w:val="00174CB7"/>
    <w:rsid w:val="00175E82"/>
    <w:rsid w:val="001767E2"/>
    <w:rsid w:val="00187008"/>
    <w:rsid w:val="0019492A"/>
    <w:rsid w:val="001A05CF"/>
    <w:rsid w:val="001A4CF0"/>
    <w:rsid w:val="001B3829"/>
    <w:rsid w:val="001C5592"/>
    <w:rsid w:val="001C5B44"/>
    <w:rsid w:val="001C6FFC"/>
    <w:rsid w:val="001F7C7C"/>
    <w:rsid w:val="00212B84"/>
    <w:rsid w:val="002346B0"/>
    <w:rsid w:val="0024287D"/>
    <w:rsid w:val="00245793"/>
    <w:rsid w:val="002667C3"/>
    <w:rsid w:val="002669B6"/>
    <w:rsid w:val="00271899"/>
    <w:rsid w:val="00282996"/>
    <w:rsid w:val="00290BED"/>
    <w:rsid w:val="002A4449"/>
    <w:rsid w:val="002B0030"/>
    <w:rsid w:val="002B37DE"/>
    <w:rsid w:val="002D13EE"/>
    <w:rsid w:val="002E33EE"/>
    <w:rsid w:val="002F40BB"/>
    <w:rsid w:val="002F4B02"/>
    <w:rsid w:val="003060CD"/>
    <w:rsid w:val="00314D3E"/>
    <w:rsid w:val="00323EF8"/>
    <w:rsid w:val="003316DD"/>
    <w:rsid w:val="003331DB"/>
    <w:rsid w:val="00335009"/>
    <w:rsid w:val="00343C88"/>
    <w:rsid w:val="003445D0"/>
    <w:rsid w:val="00346190"/>
    <w:rsid w:val="00366A46"/>
    <w:rsid w:val="00370AC3"/>
    <w:rsid w:val="00374C42"/>
    <w:rsid w:val="003824EE"/>
    <w:rsid w:val="00391FF7"/>
    <w:rsid w:val="003941C6"/>
    <w:rsid w:val="003B4689"/>
    <w:rsid w:val="003C2068"/>
    <w:rsid w:val="003C37CF"/>
    <w:rsid w:val="004100B1"/>
    <w:rsid w:val="00426E47"/>
    <w:rsid w:val="004309FA"/>
    <w:rsid w:val="0044424E"/>
    <w:rsid w:val="004517F6"/>
    <w:rsid w:val="00455743"/>
    <w:rsid w:val="00461601"/>
    <w:rsid w:val="004916CF"/>
    <w:rsid w:val="0049204D"/>
    <w:rsid w:val="004C0915"/>
    <w:rsid w:val="004C1F9C"/>
    <w:rsid w:val="004C4522"/>
    <w:rsid w:val="004D24EC"/>
    <w:rsid w:val="004D424E"/>
    <w:rsid w:val="004E42C8"/>
    <w:rsid w:val="004E733D"/>
    <w:rsid w:val="004F3FA5"/>
    <w:rsid w:val="0051271F"/>
    <w:rsid w:val="00521F46"/>
    <w:rsid w:val="00531188"/>
    <w:rsid w:val="00551111"/>
    <w:rsid w:val="00551123"/>
    <w:rsid w:val="00556F55"/>
    <w:rsid w:val="00566BF0"/>
    <w:rsid w:val="00570A6A"/>
    <w:rsid w:val="00586E50"/>
    <w:rsid w:val="0059583D"/>
    <w:rsid w:val="005A42D9"/>
    <w:rsid w:val="005C2BEF"/>
    <w:rsid w:val="005C58B7"/>
    <w:rsid w:val="005D1A99"/>
    <w:rsid w:val="005D7609"/>
    <w:rsid w:val="005D7EE8"/>
    <w:rsid w:val="005E7BE1"/>
    <w:rsid w:val="0060441F"/>
    <w:rsid w:val="00621D4F"/>
    <w:rsid w:val="00642325"/>
    <w:rsid w:val="00651BAA"/>
    <w:rsid w:val="0066616F"/>
    <w:rsid w:val="00672AAB"/>
    <w:rsid w:val="00681407"/>
    <w:rsid w:val="0068326D"/>
    <w:rsid w:val="00690CA9"/>
    <w:rsid w:val="006A2F5D"/>
    <w:rsid w:val="006A484F"/>
    <w:rsid w:val="006C1EF8"/>
    <w:rsid w:val="006E5032"/>
    <w:rsid w:val="006F112F"/>
    <w:rsid w:val="006F7907"/>
    <w:rsid w:val="007210E6"/>
    <w:rsid w:val="00743189"/>
    <w:rsid w:val="00743D33"/>
    <w:rsid w:val="0078767E"/>
    <w:rsid w:val="007932B3"/>
    <w:rsid w:val="00793EA9"/>
    <w:rsid w:val="007A2A8C"/>
    <w:rsid w:val="007B206C"/>
    <w:rsid w:val="007C5FE9"/>
    <w:rsid w:val="007D6F68"/>
    <w:rsid w:val="008005C5"/>
    <w:rsid w:val="00823E6B"/>
    <w:rsid w:val="00826780"/>
    <w:rsid w:val="008329CE"/>
    <w:rsid w:val="008363E3"/>
    <w:rsid w:val="00837CCD"/>
    <w:rsid w:val="00847570"/>
    <w:rsid w:val="00851FF2"/>
    <w:rsid w:val="008633CC"/>
    <w:rsid w:val="00865190"/>
    <w:rsid w:val="008719B9"/>
    <w:rsid w:val="00874359"/>
    <w:rsid w:val="00894ECE"/>
    <w:rsid w:val="00896BB4"/>
    <w:rsid w:val="008A4ECF"/>
    <w:rsid w:val="008A7FB8"/>
    <w:rsid w:val="008C6EF7"/>
    <w:rsid w:val="008D2113"/>
    <w:rsid w:val="008D6868"/>
    <w:rsid w:val="008E3E2F"/>
    <w:rsid w:val="009022B8"/>
    <w:rsid w:val="00914537"/>
    <w:rsid w:val="00917CC4"/>
    <w:rsid w:val="00942688"/>
    <w:rsid w:val="00945FB7"/>
    <w:rsid w:val="009763DA"/>
    <w:rsid w:val="009975B3"/>
    <w:rsid w:val="009A216D"/>
    <w:rsid w:val="009B4B93"/>
    <w:rsid w:val="009C5E97"/>
    <w:rsid w:val="009F24BE"/>
    <w:rsid w:val="009F6C2F"/>
    <w:rsid w:val="009F767A"/>
    <w:rsid w:val="00A22533"/>
    <w:rsid w:val="00A252F2"/>
    <w:rsid w:val="00A26F46"/>
    <w:rsid w:val="00A34FD3"/>
    <w:rsid w:val="00A36929"/>
    <w:rsid w:val="00A36E07"/>
    <w:rsid w:val="00A50548"/>
    <w:rsid w:val="00A60EE7"/>
    <w:rsid w:val="00A910C9"/>
    <w:rsid w:val="00AA35B0"/>
    <w:rsid w:val="00AA40FF"/>
    <w:rsid w:val="00AA5B5F"/>
    <w:rsid w:val="00AA7BD5"/>
    <w:rsid w:val="00AC7988"/>
    <w:rsid w:val="00AD18C8"/>
    <w:rsid w:val="00AD7FA6"/>
    <w:rsid w:val="00AE4643"/>
    <w:rsid w:val="00AE53E0"/>
    <w:rsid w:val="00AF0416"/>
    <w:rsid w:val="00B10CB4"/>
    <w:rsid w:val="00B12FD6"/>
    <w:rsid w:val="00B23B72"/>
    <w:rsid w:val="00B41754"/>
    <w:rsid w:val="00B42702"/>
    <w:rsid w:val="00B5144E"/>
    <w:rsid w:val="00B57B8B"/>
    <w:rsid w:val="00B60FE2"/>
    <w:rsid w:val="00B664CF"/>
    <w:rsid w:val="00B666BF"/>
    <w:rsid w:val="00B84870"/>
    <w:rsid w:val="00B84B74"/>
    <w:rsid w:val="00B85407"/>
    <w:rsid w:val="00B95702"/>
    <w:rsid w:val="00BA3C96"/>
    <w:rsid w:val="00BC6489"/>
    <w:rsid w:val="00BD480C"/>
    <w:rsid w:val="00C20954"/>
    <w:rsid w:val="00C23324"/>
    <w:rsid w:val="00C24163"/>
    <w:rsid w:val="00C3544D"/>
    <w:rsid w:val="00C42A41"/>
    <w:rsid w:val="00C47E74"/>
    <w:rsid w:val="00C51320"/>
    <w:rsid w:val="00C57A72"/>
    <w:rsid w:val="00C73602"/>
    <w:rsid w:val="00C7464E"/>
    <w:rsid w:val="00C76AD6"/>
    <w:rsid w:val="00C86B61"/>
    <w:rsid w:val="00C92AF1"/>
    <w:rsid w:val="00CC3B07"/>
    <w:rsid w:val="00CC5501"/>
    <w:rsid w:val="00CC77F9"/>
    <w:rsid w:val="00CE4F7D"/>
    <w:rsid w:val="00CF60C8"/>
    <w:rsid w:val="00D050EE"/>
    <w:rsid w:val="00D12C12"/>
    <w:rsid w:val="00D30DE2"/>
    <w:rsid w:val="00D32924"/>
    <w:rsid w:val="00D45D33"/>
    <w:rsid w:val="00D503A3"/>
    <w:rsid w:val="00D81CCE"/>
    <w:rsid w:val="00D83E57"/>
    <w:rsid w:val="00D83E9C"/>
    <w:rsid w:val="00D87352"/>
    <w:rsid w:val="00DA6ED0"/>
    <w:rsid w:val="00DC43D2"/>
    <w:rsid w:val="00DC5011"/>
    <w:rsid w:val="00DF7AD9"/>
    <w:rsid w:val="00E157A5"/>
    <w:rsid w:val="00E171B6"/>
    <w:rsid w:val="00E36471"/>
    <w:rsid w:val="00E72695"/>
    <w:rsid w:val="00E75772"/>
    <w:rsid w:val="00E861B5"/>
    <w:rsid w:val="00EB1753"/>
    <w:rsid w:val="00EB57F8"/>
    <w:rsid w:val="00EB6CFF"/>
    <w:rsid w:val="00EE3996"/>
    <w:rsid w:val="00EE4866"/>
    <w:rsid w:val="00F03D49"/>
    <w:rsid w:val="00F07062"/>
    <w:rsid w:val="00F10CB4"/>
    <w:rsid w:val="00F12456"/>
    <w:rsid w:val="00F15028"/>
    <w:rsid w:val="00F23CFC"/>
    <w:rsid w:val="00F433E2"/>
    <w:rsid w:val="00F51196"/>
    <w:rsid w:val="00F65E9A"/>
    <w:rsid w:val="00F904AE"/>
    <w:rsid w:val="00F934F8"/>
    <w:rsid w:val="00FB3B7B"/>
    <w:rsid w:val="00FB52FE"/>
    <w:rsid w:val="00FC0A34"/>
    <w:rsid w:val="00FC0A79"/>
    <w:rsid w:val="00FD1DEF"/>
    <w:rsid w:val="00FE3B3F"/>
    <w:rsid w:val="00FF175A"/>
    <w:rsid w:val="00FF2540"/>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735AC"/>
  <w15:chartTrackingRefBased/>
  <w15:docId w15:val="{BDBFEE5F-CAE3-44D5-B5C1-851BDEBB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semiHidden="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FA5"/>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basedOn w:val="DefaultParagraphFont"/>
    <w:rPr>
      <w:rFonts w:ascii="Arial" w:hAnsi="Arial" w:cs="Arial"/>
      <w:b w:val="0"/>
      <w:i w:val="0"/>
      <w:strike w:val="0"/>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uiPriority w:val="39"/>
    <w:rsid w:val="00C23324"/>
    <w:pPr>
      <w:spacing w:after="240"/>
    </w:pPr>
  </w:style>
  <w:style w:type="paragraph" w:styleId="TOCHeading">
    <w:name w:val="TOC Heading"/>
    <w:basedOn w:val="Normal"/>
    <w:next w:val="TOCPage"/>
    <w:qFormat/>
    <w:pPr>
      <w:keepNext/>
      <w:spacing w:before="240" w:after="240"/>
      <w:jc w:val="center"/>
    </w:pPr>
    <w:rPr>
      <w:rFonts w:ascii="Arial" w:hAnsi="Arial"/>
      <w:b/>
    </w:rPr>
  </w:style>
  <w:style w:type="paragraph" w:customStyle="1" w:styleId="TOCPage">
    <w:name w:val="TOC Page"/>
    <w:basedOn w:val="Normal"/>
    <w:next w:val="TOC1"/>
    <w:pPr>
      <w:keepNext/>
      <w:spacing w:after="240"/>
      <w:jc w:val="right"/>
    </w:pPr>
    <w:rPr>
      <w:rFonts w:ascii="Arial" w:hAnsi="Arial"/>
      <w:b/>
    </w:rPr>
  </w:style>
  <w:style w:type="character" w:customStyle="1" w:styleId="HideTWBInt">
    <w:name w:val="HideTWBInt"/>
    <w:rPr>
      <w:rFonts w:ascii="Arial" w:hAnsi="Arial" w:cs="Arial"/>
      <w:vanish/>
      <w:color w:val="808080"/>
      <w:sz w:val="20"/>
    </w:rPr>
  </w:style>
  <w:style w:type="paragraph" w:customStyle="1" w:styleId="Normal6a">
    <w:name w:val="Normal6a"/>
    <w:basedOn w:val="Normal"/>
    <w:pPr>
      <w:spacing w:after="120"/>
    </w:pPr>
  </w:style>
  <w:style w:type="paragraph" w:customStyle="1" w:styleId="PageHeading">
    <w:name w:val="PageHeading"/>
    <w:basedOn w:val="Normal"/>
    <w:pPr>
      <w:keepNext/>
      <w:spacing w:after="480"/>
      <w:jc w:val="center"/>
    </w:pPr>
    <w:rPr>
      <w:rFonts w:ascii="Arial" w:hAnsi="Arial" w:cs="Arial"/>
      <w:b/>
    </w:rPr>
  </w:style>
  <w:style w:type="paragraph" w:customStyle="1" w:styleId="NormalBold">
    <w:name w:val="NormalBold"/>
    <w:basedOn w:val="Normal"/>
    <w:rPr>
      <w:b/>
    </w:rPr>
  </w:style>
  <w:style w:type="paragraph" w:customStyle="1" w:styleId="NormalBold12a">
    <w:name w:val="NormalBold12a"/>
    <w:basedOn w:val="Normal"/>
    <w:pPr>
      <w:spacing w:after="240"/>
    </w:pPr>
    <w:rPr>
      <w:b/>
    </w:rPr>
  </w:style>
  <w:style w:type="paragraph" w:customStyle="1" w:styleId="AmJustText">
    <w:name w:val="AmJustText"/>
    <w:basedOn w:val="Normal"/>
    <w:pPr>
      <w:spacing w:after="240"/>
    </w:pPr>
    <w:rPr>
      <w:i/>
    </w:rPr>
  </w:style>
  <w:style w:type="paragraph" w:customStyle="1" w:styleId="NormalHanging12a">
    <w:name w:val="NormalHanging12a"/>
    <w:basedOn w:val="Normal"/>
    <w:pPr>
      <w:spacing w:after="240"/>
      <w:ind w:left="567" w:hanging="567"/>
    </w:pPr>
  </w:style>
  <w:style w:type="paragraph" w:customStyle="1" w:styleId="EPName">
    <w:name w:val="EPName"/>
    <w:basedOn w:val="Normal"/>
    <w:rsid w:val="006F7907"/>
    <w:pPr>
      <w:spacing w:before="80" w:after="80"/>
    </w:pPr>
    <w:rPr>
      <w:rFonts w:ascii="Arial Narrow" w:hAnsi="Arial Narrow" w:cs="Arial"/>
      <w:b/>
      <w:sz w:val="32"/>
      <w:szCs w:val="22"/>
    </w:rPr>
  </w:style>
  <w:style w:type="paragraph" w:customStyle="1" w:styleId="CoverNormal24a">
    <w:name w:val="CoverNormal24a"/>
    <w:basedOn w:val="Normal"/>
    <w:rsid w:val="00F07062"/>
    <w:pPr>
      <w:spacing w:after="480"/>
      <w:ind w:left="1417"/>
    </w:pPr>
  </w:style>
  <w:style w:type="paragraph" w:customStyle="1" w:styleId="CoverNormal">
    <w:name w:val="CoverNormal"/>
    <w:basedOn w:val="Normal"/>
    <w:pPr>
      <w:ind w:left="1418"/>
    </w:pPr>
  </w:style>
  <w:style w:type="paragraph" w:customStyle="1" w:styleId="AmCrossRef">
    <w:name w:val="AmCrossRef"/>
    <w:basedOn w:val="Normal"/>
    <w:rsid w:val="00DA6ED0"/>
    <w:pPr>
      <w:spacing w:before="240" w:after="240"/>
      <w:jc w:val="center"/>
    </w:pPr>
    <w:rPr>
      <w:i/>
    </w:rPr>
  </w:style>
  <w:style w:type="paragraph" w:customStyle="1" w:styleId="AmJustTitle">
    <w:name w:val="AmJustTitle"/>
    <w:basedOn w:val="Normal"/>
    <w:next w:val="AmJustText"/>
    <w:pPr>
      <w:keepNext/>
      <w:spacing w:before="240" w:after="240"/>
      <w:jc w:val="center"/>
    </w:pPr>
    <w:rPr>
      <w:i/>
    </w:rPr>
  </w:style>
  <w:style w:type="paragraph" w:customStyle="1" w:styleId="CoverReference">
    <w:name w:val="CoverReference"/>
    <w:basedOn w:val="Normal"/>
    <w:rsid w:val="004E733D"/>
    <w:pPr>
      <w:spacing w:before="1080"/>
      <w:jc w:val="right"/>
    </w:pPr>
    <w:rPr>
      <w:rFonts w:ascii="Arial" w:hAnsi="Arial" w:cs="Arial"/>
      <w:b/>
    </w:rPr>
  </w:style>
  <w:style w:type="paragraph" w:customStyle="1" w:styleId="CoverDocType">
    <w:name w:val="CoverDocType"/>
    <w:basedOn w:val="Normal"/>
    <w:pPr>
      <w:ind w:left="1418"/>
    </w:pPr>
    <w:rPr>
      <w:rFonts w:ascii="Arial" w:hAnsi="Arial"/>
      <w:b/>
      <w:sz w:val="48"/>
    </w:rPr>
  </w:style>
  <w:style w:type="paragraph" w:customStyle="1" w:styleId="CoverDocType24a">
    <w:name w:val="CoverDocType24a"/>
    <w:basedOn w:val="Normal"/>
    <w:rsid w:val="00F07062"/>
    <w:pPr>
      <w:spacing w:after="480"/>
      <w:ind w:left="1418"/>
    </w:pPr>
    <w:rPr>
      <w:rFonts w:ascii="Arial" w:hAnsi="Arial"/>
      <w:b/>
      <w:sz w:val="48"/>
    </w:rPr>
  </w:style>
  <w:style w:type="paragraph" w:customStyle="1" w:styleId="CoverDate">
    <w:name w:val="CoverDate"/>
    <w:basedOn w:val="Normal"/>
    <w:pPr>
      <w:spacing w:before="240" w:after="1200"/>
    </w:pPr>
  </w:style>
  <w:style w:type="paragraph" w:styleId="Header">
    <w:name w:val="header"/>
    <w:basedOn w:val="Normal"/>
    <w:link w:val="HeaderChar"/>
    <w:semiHidden/>
    <w:rsid w:val="00F23CFC"/>
    <w:pPr>
      <w:tabs>
        <w:tab w:val="center" w:pos="4513"/>
        <w:tab w:val="right" w:pos="9026"/>
      </w:tabs>
    </w:pPr>
  </w:style>
  <w:style w:type="paragraph" w:customStyle="1" w:styleId="AmOrLang">
    <w:name w:val="AmOrLang"/>
    <w:basedOn w:val="Normal"/>
    <w:rsid w:val="002669B6"/>
    <w:pPr>
      <w:spacing w:before="240" w:after="240"/>
      <w:jc w:val="right"/>
    </w:pPr>
  </w:style>
  <w:style w:type="paragraph" w:customStyle="1" w:styleId="AmColumnHeading">
    <w:name w:val="AmColumnHeading"/>
    <w:basedOn w:val="Normal"/>
    <w:rsid w:val="002669B6"/>
    <w:pPr>
      <w:spacing w:after="240"/>
      <w:jc w:val="center"/>
    </w:pPr>
    <w:rPr>
      <w:i/>
    </w:rPr>
  </w:style>
  <w:style w:type="table" w:styleId="TableGrid">
    <w:name w:val="Table Grid"/>
    <w:basedOn w:val="TableNormal"/>
    <w:rsid w:val="0046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NumberTabs">
    <w:name w:val="AmNumberTabs"/>
    <w:basedOn w:val="Normal"/>
    <w:rsid w:val="004C0915"/>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NormalBold12b">
    <w:name w:val="NormalBold12b"/>
    <w:basedOn w:val="Normal"/>
    <w:rsid w:val="004C0915"/>
    <w:pPr>
      <w:spacing w:before="240"/>
    </w:pPr>
    <w:rPr>
      <w:b/>
    </w:rPr>
  </w:style>
  <w:style w:type="paragraph" w:customStyle="1" w:styleId="EPBody">
    <w:name w:val="EPBody"/>
    <w:basedOn w:val="Normal"/>
    <w:rsid w:val="00461601"/>
    <w:pPr>
      <w:jc w:val="center"/>
    </w:pPr>
    <w:rPr>
      <w:rFonts w:ascii="Arial" w:hAnsi="Arial" w:cs="Arial"/>
      <w:i/>
      <w:sz w:val="22"/>
      <w:szCs w:val="22"/>
    </w:rPr>
  </w:style>
  <w:style w:type="paragraph" w:customStyle="1" w:styleId="LineTop">
    <w:name w:val="LineTop"/>
    <w:basedOn w:val="Normal"/>
    <w:next w:val="Normal"/>
    <w:rsid w:val="0046160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461601"/>
    <w:pPr>
      <w:pBdr>
        <w:bottom w:val="single" w:sz="4" w:space="1" w:color="auto"/>
      </w:pBdr>
      <w:spacing w:after="240"/>
      <w:jc w:val="center"/>
    </w:pPr>
    <w:rPr>
      <w:rFonts w:ascii="Arial" w:hAnsi="Arial" w:cs="Arial"/>
      <w:sz w:val="16"/>
      <w:szCs w:val="16"/>
    </w:rPr>
  </w:style>
  <w:style w:type="paragraph" w:customStyle="1" w:styleId="EPTerm">
    <w:name w:val="EPTerm"/>
    <w:basedOn w:val="Normal"/>
    <w:next w:val="Normal"/>
    <w:rsid w:val="006F7907"/>
    <w:pPr>
      <w:spacing w:after="80"/>
    </w:pPr>
    <w:rPr>
      <w:rFonts w:ascii="Arial" w:hAnsi="Arial" w:cs="Arial"/>
      <w:sz w:val="20"/>
      <w:szCs w:val="22"/>
    </w:rPr>
  </w:style>
  <w:style w:type="paragraph" w:customStyle="1" w:styleId="EPLogo">
    <w:name w:val="EPLogo"/>
    <w:basedOn w:val="Normal"/>
    <w:qFormat/>
    <w:rsid w:val="006F7907"/>
    <w:pPr>
      <w:jc w:val="right"/>
    </w:pPr>
  </w:style>
  <w:style w:type="paragraph" w:customStyle="1" w:styleId="EPFooter">
    <w:name w:val="EPFooter"/>
    <w:basedOn w:val="Normal"/>
    <w:rsid w:val="00F07062"/>
    <w:pPr>
      <w:tabs>
        <w:tab w:val="center" w:pos="4535"/>
        <w:tab w:val="right" w:pos="9071"/>
      </w:tabs>
      <w:spacing w:before="240" w:after="240"/>
    </w:pPr>
    <w:rPr>
      <w:color w:val="010000"/>
      <w:sz w:val="22"/>
    </w:rPr>
  </w:style>
  <w:style w:type="character" w:styleId="PageNumber">
    <w:name w:val="page number"/>
    <w:basedOn w:val="DefaultParagraphFont"/>
    <w:semiHidden/>
    <w:rsid w:val="00914537"/>
  </w:style>
  <w:style w:type="character" w:customStyle="1" w:styleId="HeaderChar">
    <w:name w:val="Header Char"/>
    <w:basedOn w:val="DefaultParagraphFont"/>
    <w:link w:val="Header"/>
    <w:semiHidden/>
    <w:rsid w:val="00F23CFC"/>
    <w:rPr>
      <w:sz w:val="24"/>
    </w:rPr>
  </w:style>
  <w:style w:type="paragraph" w:customStyle="1" w:styleId="EPComma">
    <w:name w:val="EPComma"/>
    <w:basedOn w:val="Normal"/>
    <w:rsid w:val="00A910C9"/>
    <w:pPr>
      <w:spacing w:before="480" w:after="240"/>
    </w:pPr>
  </w:style>
  <w:style w:type="paragraph" w:customStyle="1" w:styleId="Lgendesigne">
    <w:name w:val="Légende signe"/>
    <w:basedOn w:val="Normal"/>
    <w:rsid w:val="00B5144E"/>
    <w:pPr>
      <w:tabs>
        <w:tab w:val="right" w:pos="454"/>
        <w:tab w:val="left" w:pos="737"/>
      </w:tabs>
      <w:ind w:left="737" w:hanging="737"/>
    </w:pPr>
    <w:rPr>
      <w:snapToGrid w:val="0"/>
      <w:sz w:val="18"/>
      <w:lang w:eastAsia="en-US"/>
    </w:rPr>
  </w:style>
  <w:style w:type="paragraph" w:customStyle="1" w:styleId="Lgendetitre">
    <w:name w:val="Légende titre"/>
    <w:basedOn w:val="Normal"/>
    <w:rsid w:val="00B5144E"/>
    <w:pPr>
      <w:spacing w:before="240" w:after="240"/>
    </w:pPr>
    <w:rPr>
      <w:b/>
      <w:i/>
      <w:snapToGrid w:val="0"/>
      <w:lang w:eastAsia="en-US"/>
    </w:rPr>
  </w:style>
  <w:style w:type="paragraph" w:customStyle="1" w:styleId="Lgendestandard">
    <w:name w:val="Légende standard"/>
    <w:basedOn w:val="Normal"/>
    <w:rsid w:val="00B5144E"/>
    <w:rPr>
      <w:sz w:val="18"/>
    </w:rPr>
  </w:style>
  <w:style w:type="character" w:styleId="FootnoteReference">
    <w:name w:val="footnote reference"/>
    <w:aliases w:val=" BVI fnr,(Footnote Reference),16 Point,BVI fnr,Exposant 3 Point,Footnote,Footnote Reference1,Footnote call,Footnote reference number,Footnote symbol,Ref,SUPERS,Times 10 Point,Voetnootverwijzing,de nota al pie,note TESI,stylish"/>
    <w:basedOn w:val="DefaultParagraphFont"/>
    <w:uiPriority w:val="99"/>
    <w:rsid w:val="00B5144E"/>
    <w:rPr>
      <w:vertAlign w:val="superscript"/>
    </w:rPr>
  </w:style>
  <w:style w:type="paragraph" w:styleId="Footer">
    <w:name w:val="footer"/>
    <w:basedOn w:val="Normal"/>
    <w:link w:val="FooterChar"/>
    <w:semiHidden/>
    <w:rsid w:val="00D050EE"/>
    <w:pPr>
      <w:tabs>
        <w:tab w:val="center" w:pos="4513"/>
        <w:tab w:val="right" w:pos="9026"/>
      </w:tabs>
    </w:pPr>
  </w:style>
  <w:style w:type="character" w:customStyle="1" w:styleId="FooterChar">
    <w:name w:val="Footer Char"/>
    <w:basedOn w:val="DefaultParagraphFont"/>
    <w:link w:val="Footer"/>
    <w:semiHidden/>
    <w:rsid w:val="00D050EE"/>
    <w:rPr>
      <w:sz w:val="24"/>
    </w:rPr>
  </w:style>
  <w:style w:type="paragraph" w:styleId="BalloonText">
    <w:name w:val="Balloon Text"/>
    <w:basedOn w:val="Normal"/>
    <w:link w:val="BalloonTextChar"/>
    <w:rsid w:val="006A484F"/>
    <w:rPr>
      <w:rFonts w:ascii="Segoe UI" w:hAnsi="Segoe UI" w:cs="Segoe UI"/>
      <w:sz w:val="18"/>
      <w:szCs w:val="18"/>
    </w:rPr>
  </w:style>
  <w:style w:type="character" w:customStyle="1" w:styleId="BalloonTextChar">
    <w:name w:val="Balloon Text Char"/>
    <w:basedOn w:val="DefaultParagraphFont"/>
    <w:link w:val="BalloonText"/>
    <w:rsid w:val="006A484F"/>
    <w:rPr>
      <w:rFonts w:ascii="Segoe UI" w:hAnsi="Segoe UI" w:cs="Segoe UI"/>
      <w:sz w:val="18"/>
      <w:szCs w:val="18"/>
    </w:rPr>
  </w:style>
  <w:style w:type="character" w:styleId="CommentReference">
    <w:name w:val="annotation reference"/>
    <w:basedOn w:val="DefaultParagraphFont"/>
    <w:rsid w:val="003331DB"/>
    <w:rPr>
      <w:sz w:val="16"/>
      <w:szCs w:val="16"/>
    </w:rPr>
  </w:style>
  <w:style w:type="paragraph" w:styleId="CommentText">
    <w:name w:val="annotation text"/>
    <w:basedOn w:val="Normal"/>
    <w:link w:val="CommentTextChar"/>
    <w:rsid w:val="003331DB"/>
    <w:rPr>
      <w:sz w:val="20"/>
    </w:rPr>
  </w:style>
  <w:style w:type="character" w:customStyle="1" w:styleId="CommentTextChar">
    <w:name w:val="Comment Text Char"/>
    <w:basedOn w:val="DefaultParagraphFont"/>
    <w:link w:val="CommentText"/>
    <w:rsid w:val="003331DB"/>
  </w:style>
  <w:style w:type="paragraph" w:styleId="CommentSubject">
    <w:name w:val="annotation subject"/>
    <w:basedOn w:val="CommentText"/>
    <w:next w:val="CommentText"/>
    <w:link w:val="CommentSubjectChar"/>
    <w:rsid w:val="003331DB"/>
    <w:rPr>
      <w:b/>
      <w:bCs/>
    </w:rPr>
  </w:style>
  <w:style w:type="character" w:customStyle="1" w:styleId="CommentSubjectChar">
    <w:name w:val="Comment Subject Char"/>
    <w:basedOn w:val="CommentTextChar"/>
    <w:link w:val="CommentSubject"/>
    <w:rsid w:val="00333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DD2A-DC0E-40BF-8AC5-2191D59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9510</Words>
  <Characters>55919</Characters>
  <Application>Microsoft Office Word</Application>
  <DocSecurity>0</DocSecurity>
  <Lines>1997</Lines>
  <Paragraphs>579</Paragraphs>
  <ScaleCrop>false</ScaleCrop>
  <HeadingPairs>
    <vt:vector size="2" baseType="variant">
      <vt:variant>
        <vt:lpstr>Title</vt:lpstr>
      </vt:variant>
      <vt:variant>
        <vt:i4>1</vt:i4>
      </vt:variant>
    </vt:vector>
  </HeadingPairs>
  <TitlesOfParts>
    <vt:vector size="1" baseType="lpstr">
      <vt:lpstr>PR_COD_1amCom</vt:lpstr>
    </vt:vector>
  </TitlesOfParts>
  <Company/>
  <LinksUpToDate>false</LinksUpToDate>
  <CharactersWithSpaces>64850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PR_COD_1amCom</dc:title>
  <dc:creator>KEYS Alexander</dc:creator>
  <cp:lastModifiedBy>KOUTI Maria</cp:lastModifiedBy>
  <cp:revision>2</cp:revision>
  <cp:lastPrinted>2004-11-04T09:41:00Z</cp:lastPrinted>
  <dcterms:created xsi:type="dcterms:W3CDTF">2020-04-14T13:55:00Z</dcterms:created>
  <dcterms:modified xsi:type="dcterms:W3CDTF">2020-04-14T13:55:00Z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EL</vt:lpwstr>
  </property>
  <property fmtid="{D5CDD505-2E9C-101B-9397-08002B2CF9AE}" pid="3" name="&lt;FdR&gt;">
    <vt:lpwstr>1202915</vt:lpwstr>
  </property>
  <property fmtid="{D5CDD505-2E9C-101B-9397-08002B2CF9AE}" pid="4" name="&lt;Model&gt;">
    <vt:lpwstr>PR_COD_1amCom</vt:lpwstr>
  </property>
  <property fmtid="{D5CDD505-2E9C-101B-9397-08002B2CF9AE}" pid="5" name="&lt;ModelCod&gt;">
    <vt:lpwstr>\\eiciBRUpr1\pdocep$\DocEP\DOCS\General\PR\PR_Leg\COD\COD_1st\PR_COD_1amCom.dotx(15/10/2019 06:17:24)</vt:lpwstr>
  </property>
  <property fmtid="{D5CDD505-2E9C-101B-9397-08002B2CF9AE}" pid="6" name="&lt;ModelTra&gt;">
    <vt:lpwstr>\\eiciBRUpr1\pdocep$\DocEP\TRANSFIL\EN\PR_COD_1amCom.EN(11/10/2019 09:25:41)</vt:lpwstr>
  </property>
  <property fmtid="{D5CDD505-2E9C-101B-9397-08002B2CF9AE}" pid="7" name="&lt;Type&gt;">
    <vt:lpwstr>PR</vt:lpwstr>
  </property>
  <property fmtid="{D5CDD505-2E9C-101B-9397-08002B2CF9AE}" pid="8" name="Bookout">
    <vt:lpwstr>OK - 2020/04/14 15:54</vt:lpwstr>
  </property>
  <property fmtid="{D5CDD505-2E9C-101B-9397-08002B2CF9AE}" pid="9" name="Created with">
    <vt:lpwstr>9.8.0 Build [20191010]</vt:lpwstr>
  </property>
  <property fmtid="{D5CDD505-2E9C-101B-9397-08002B2CF9AE}" pid="10" name="FooterPath">
    <vt:lpwstr>PR\1202915EL.docx</vt:lpwstr>
  </property>
  <property fmtid="{D5CDD505-2E9C-101B-9397-08002B2CF9AE}" pid="11" name="LastEdited with">
    <vt:lpwstr>9.8.0 Build [20191010]</vt:lpwstr>
  </property>
  <property fmtid="{D5CDD505-2E9C-101B-9397-08002B2CF9AE}" pid="12" name="PE number">
    <vt:lpwstr>648.609</vt:lpwstr>
  </property>
  <property fmtid="{D5CDD505-2E9C-101B-9397-08002B2CF9AE}" pid="13" name="SDLStudio">
    <vt:lpwstr/>
  </property>
  <property fmtid="{D5CDD505-2E9C-101B-9397-08002B2CF9AE}" pid="14" name="SendToEpades">
    <vt:lpwstr>OK(AMNUM) - 2020/03/23 15:12</vt:lpwstr>
  </property>
  <property fmtid="{D5CDD505-2E9C-101B-9397-08002B2CF9AE}" pid="15" name="SubscribeElise">
    <vt:lpwstr/>
  </property>
</Properties>
</file>